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A"/>
        <w:rPr>
          <w:rStyle w:val="None"/>
          <w:b w:val="1"/>
          <w:bCs w:val="1"/>
          <w:outline w:val="0"/>
          <w:color w:val="2b5c86"/>
          <w:sz w:val="24"/>
          <w:szCs w:val="24"/>
          <w:u w:color="2b5c86"/>
          <w14:textFill>
            <w14:solidFill>
              <w14:srgbClr w14:val="2B5C86"/>
            </w14:solidFill>
          </w14:textFill>
        </w:rPr>
      </w:pPr>
      <w:r>
        <w:rPr>
          <w:rStyle w:val="None"/>
          <w:rFonts w:cs="Arial Unicode MS" w:eastAsia="Arial Unicode MS"/>
          <w:b w:val="1"/>
          <w:bCs w:val="1"/>
          <w:outline w:val="0"/>
          <w:color w:val="2b5c86"/>
          <w:sz w:val="24"/>
          <w:szCs w:val="24"/>
          <w:u w:color="2b5c86"/>
          <w:rtl w:val="0"/>
          <w:lang w:val="en-US"/>
          <w14:textFill>
            <w14:solidFill>
              <w14:srgbClr w14:val="2B5C86"/>
            </w14:solidFill>
          </w14:textFill>
        </w:rPr>
        <w:t>Risk Log Template 1</w:t>
      </w:r>
    </w:p>
    <w:p>
      <w:pPr>
        <w:pStyle w:val="BU_Subheading"/>
        <w:spacing w:before="0"/>
      </w:pPr>
    </w:p>
    <w:tbl>
      <w:tblPr>
        <w:tblW w:w="9432" w:type="dxa"/>
        <w:jc w:val="left"/>
        <w:tblInd w:w="1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9"/>
        <w:gridCol w:w="1347"/>
        <w:gridCol w:w="1085"/>
        <w:gridCol w:w="1064"/>
        <w:gridCol w:w="1202"/>
        <w:gridCol w:w="1287"/>
        <w:gridCol w:w="1313"/>
        <w:gridCol w:w="1045"/>
      </w:tblGrid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#</w:t>
            </w:r>
          </w:p>
        </w:tc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</w:t>
            </w:r>
          </w:p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Score</w:t>
            </w:r>
          </w:p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Date Identified</w:t>
            </w:r>
          </w:p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Risk Response Strategy</w:t>
            </w:r>
          </w:p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2b5c8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U_Text_Compressed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Status</w:t>
            </w:r>
          </w:p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6" w:hRule="atLeast"/>
        </w:trPr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U_Subheading"/>
        <w:widowControl w:val="0"/>
        <w:spacing w:before="0"/>
        <w:ind w:left="72" w:hanging="72"/>
      </w:pPr>
    </w:p>
    <w:p>
      <w:pPr>
        <w:pStyle w:val="BU_Text"/>
        <w:spacing w:before="240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Risk Score:</w:t>
      </w:r>
      <w:r>
        <w:rPr>
          <w:rStyle w:val="None"/>
          <w:sz w:val="20"/>
          <w:szCs w:val="20"/>
          <w:rtl w:val="0"/>
          <w:lang w:val="en-US"/>
        </w:rPr>
        <w:t xml:space="preserve"> Probability (P) multiplied by Impact (I) </w:t>
      </w:r>
    </w:p>
    <w:p>
      <w:pPr>
        <w:pStyle w:val="BU_Text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Status:</w:t>
      </w:r>
      <w:r>
        <w:rPr>
          <w:rStyle w:val="None"/>
          <w:sz w:val="20"/>
          <w:szCs w:val="20"/>
          <w:rtl w:val="0"/>
          <w:lang w:val="en-US"/>
        </w:rPr>
        <w:t xml:space="preserve"> Open or Closed</w:t>
      </w:r>
    </w:p>
    <w:p>
      <w:pPr>
        <w:pStyle w:val="BU_Text"/>
        <w:rPr>
          <w:rStyle w:val="None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Risk Response Strategies:</w:t>
      </w:r>
      <w:r>
        <w:rPr>
          <w:rStyle w:val="None"/>
          <w:sz w:val="20"/>
          <w:szCs w:val="20"/>
          <w:rtl w:val="0"/>
          <w:lang w:val="en-US"/>
        </w:rPr>
        <w:t xml:space="preserve"> Avoid, Mitigate, Transfer, Accept</w:t>
      </w:r>
    </w:p>
    <w:p>
      <w:pPr>
        <w:pStyle w:val="Title1"/>
        <w:rPr>
          <w:rStyle w:val="None"/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</w:pPr>
    </w:p>
    <w:p>
      <w:pPr>
        <w:pStyle w:val="Title1"/>
      </w:pPr>
      <w:r>
        <w:rPr>
          <w:rStyle w:val="None"/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BA112: Plan, Manage, and Communicate Requirements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300 Brickstone Square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—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Suite 201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Andover, MA 01810 USA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info@corpedgroup.com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5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logo-sq.png" descr="ceg-spectrum-logo-sq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"/>
      </w:rP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"/>
      </w:rP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6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  <w:style w:type="paragraph" w:styleId="BU_Subheading">
    <w:name w:val="BU_Subheading"/>
    <w:next w:val="BU_Text_Compress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_Compressed">
    <w:name w:val="BU_Text_Compressed"/>
    <w:next w:val="BU_Text_Compresse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Text">
    <w:name w:val="BU_Text"/>
    <w:next w:val="BU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