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360" w:after="120"/>
        <w:rPr>
          <w:rStyle w:val="None"/>
          <w:b w:val="1"/>
          <w:bCs w:val="1"/>
          <w:outline w:val="0"/>
          <w:color w:val="2b5c86"/>
          <w:sz w:val="24"/>
          <w:szCs w:val="24"/>
          <w:u w:color="2b5c86"/>
          <w14:textFill>
            <w14:solidFill>
              <w14:srgbClr w14:val="2B5C86"/>
            </w14:solidFill>
          </w14:textFill>
        </w:rPr>
      </w:pPr>
      <w:r>
        <w:br w:type="textWrapping"/>
      </w:r>
      <w:r>
        <w:rPr>
          <w:rStyle w:val="None"/>
          <w:b w:val="1"/>
          <w:bCs w:val="1"/>
          <w:outline w:val="0"/>
          <w:color w:val="2b5c86"/>
          <w:sz w:val="24"/>
          <w:szCs w:val="24"/>
          <w:u w:color="2b5c86"/>
          <w:rtl w:val="0"/>
          <w:lang w:val="en-US"/>
          <w14:textFill>
            <w14:solidFill>
              <w14:srgbClr w14:val="2B5C86"/>
            </w14:solidFill>
          </w14:textFill>
        </w:rPr>
        <w:t>Johari Window Employee Performance Model</w:t>
      </w:r>
    </w:p>
    <w:p>
      <w:pPr>
        <w:pStyle w:val="Body A"/>
        <w:spacing w:before="120" w:after="120"/>
        <w:rPr>
          <w:rStyle w:val="None"/>
          <w:sz w:val="20"/>
          <w:szCs w:val="20"/>
        </w:rPr>
      </w:pPr>
    </w:p>
    <w:p>
      <w:pPr>
        <w:pStyle w:val="Body A"/>
        <w:spacing w:before="120" w:after="120"/>
        <w:rPr>
          <w:rStyle w:val="None"/>
          <w:sz w:val="20"/>
          <w:szCs w:val="20"/>
        </w:rPr>
      </w:pPr>
      <w:r>
        <w:rPr>
          <w:rStyle w:val="None"/>
        </w:rPr>
        <w:drawing xmlns:a="http://schemas.openxmlformats.org/drawingml/2006/main">
          <wp:inline distT="0" distB="0" distL="0" distR="0">
            <wp:extent cx="5720914" cy="4328472"/>
            <wp:effectExtent l="0" t="0" r="0" b="0"/>
            <wp:docPr id="107374182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5000" t="22364" r="17628" b="7969"/>
                    <a:stretch>
                      <a:fillRect/>
                    </a:stretch>
                  </pic:blipFill>
                  <pic:spPr>
                    <a:xfrm>
                      <a:off x="0" y="0"/>
                      <a:ext cx="5720914" cy="43284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before="120" w:after="120"/>
        <w:rPr>
          <w:rStyle w:val="None"/>
          <w:i w:val="1"/>
          <w:iCs w:val="1"/>
        </w:rPr>
      </w:pPr>
      <w:r>
        <w:rPr>
          <w:rStyle w:val="None"/>
          <w:i w:val="1"/>
          <w:iCs w:val="1"/>
          <w:sz w:val="20"/>
          <w:szCs w:val="20"/>
          <w:rtl w:val="0"/>
          <w:lang w:val="en-US"/>
        </w:rPr>
        <w:t>*Source: The Johari window, represents a graphic model for mapping interpersonal awareness" and was created by Joseph Luft and Harry Ingham in 1955.</w:t>
      </w:r>
    </w:p>
    <w:p>
      <w:pPr>
        <w:pStyle w:val="Body A"/>
        <w:spacing w:before="120" w:after="12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Fonts w:cs="Arial Unicode MS" w:eastAsia="Arial Unicode MS"/>
          <w:rtl w:val="0"/>
          <w:lang w:val="en-US"/>
        </w:rPr>
        <w:t xml:space="preserve">For more information on our leadership &amp; management courses and certificate programs, please contact the Corporate Education Group at 1.800.288.7246. Also, check us out on the web at </w:t>
      </w: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www.corpedgroup.com.</w:t>
      </w:r>
      <w:r/>
    </w:p>
    <w:sectPr>
      <w:headerReference w:type="default" r:id="rId5"/>
      <w:headerReference w:type="even" r:id="rId6"/>
      <w:footerReference w:type="default" r:id="rId7"/>
      <w:footerReference w:type="even" r:id="rId8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,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03100" cy="905506"/>
          <wp:effectExtent l="0" t="0" r="0" b="0"/>
          <wp:docPr id="1073741825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email-sig.png" descr="ceg-spectrum-email-sig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03100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