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before="360" w:after="120"/>
        <w:rPr>
          <w:rStyle w:val="None"/>
          <w:sz w:val="20"/>
          <w:szCs w:val="20"/>
        </w:rPr>
      </w:pPr>
      <w:r>
        <w:br w:type="textWrapping"/>
      </w:r>
      <w:r>
        <w:rPr>
          <w:rStyle w:val="None"/>
          <w:b w:val="1"/>
          <w:bCs w:val="1"/>
          <w:outline w:val="0"/>
          <w:color w:val="2b5c86"/>
          <w:sz w:val="26"/>
          <w:szCs w:val="26"/>
          <w:u w:color="2b5c86"/>
          <w:rtl w:val="0"/>
          <w:lang w:val="en-US"/>
          <w14:textFill>
            <w14:solidFill>
              <w14:srgbClr w14:val="2B5C86"/>
            </w14:solidFill>
          </w14:textFill>
        </w:rPr>
        <w:t>Stages of Intervention Model</w:t>
      </w:r>
      <w:r>
        <w:rPr>
          <w:rStyle w:val="None"/>
          <w:b w:val="1"/>
          <w:bCs w:val="1"/>
          <w:outline w:val="0"/>
          <w:color w:val="2b5c86"/>
          <w:sz w:val="24"/>
          <w:szCs w:val="24"/>
          <w:u w:color="2b5c86"/>
          <w14:textFill>
            <w14:solidFill>
              <w14:srgbClr w14:val="2B5C86"/>
            </w14:solidFill>
          </w14:textFill>
        </w:rPr>
        <w:br w:type="textWrapping"/>
        <w:br w:type="textWrapping"/>
      </w:r>
      <w:r>
        <w:rPr>
          <w:rStyle w:val="None"/>
          <w:sz w:val="20"/>
          <w:szCs w:val="20"/>
        </w:rPr>
        <w:drawing xmlns:a="http://schemas.openxmlformats.org/drawingml/2006/main">
          <wp:inline distT="0" distB="0" distL="0" distR="0">
            <wp:extent cx="5943473" cy="4630583"/>
            <wp:effectExtent l="0" t="0" r="0" b="0"/>
            <wp:docPr id="107374182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46305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"/>
          <w:sz w:val="20"/>
          <w:szCs w:val="20"/>
        </w:rPr>
        <w:br w:type="textWrapping"/>
        <w:br w:type="textWrapping"/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>*Source: Model Modified from the Vanderbilt University Medical Center</w:t>
      </w:r>
    </w:p>
    <w:p>
      <w:pPr>
        <w:pStyle w:val="Body A"/>
        <w:spacing w:before="120" w:after="120"/>
        <w:rPr>
          <w:rStyle w:val="None"/>
          <w:sz w:val="20"/>
          <w:szCs w:val="20"/>
        </w:rPr>
      </w:pPr>
    </w:p>
    <w:p>
      <w:pPr>
        <w:pStyle w:val="Body A"/>
        <w:spacing w:before="120" w:after="12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 xml:space="preserve"> </w:t>
      </w:r>
    </w:p>
    <w:p>
      <w:pPr>
        <w:pStyle w:val="Body A"/>
      </w:pPr>
      <w:r>
        <w:rPr>
          <w:rStyle w:val="None"/>
          <w:rFonts w:cs="Arial Unicode MS" w:eastAsia="Arial Unicode MS"/>
          <w:rtl w:val="0"/>
          <w:lang w:val="en-US"/>
        </w:rPr>
        <w:t xml:space="preserve">For more information on our leadership &amp; management courses and certificate programs, please contact the Corporate Education Group at 1.800.288.7246. Also, check us out on the web at </w:t>
      </w:r>
      <w:r>
        <w:rPr>
          <w:rStyle w:val="None"/>
          <w:rFonts w:cs="Arial Unicode MS" w:eastAsia="Arial Unicode MS"/>
          <w:b w:val="1"/>
          <w:bCs w:val="1"/>
          <w:rtl w:val="0"/>
          <w:lang w:val="en-US"/>
        </w:rPr>
        <w:t>www.corpedgroup.com.</w:t>
      </w:r>
      <w:r/>
    </w:p>
    <w:sectPr>
      <w:headerReference w:type="default" r:id="rId5"/>
      <w:headerReference w:type="even" r:id="rId6"/>
      <w:footerReference w:type="default" r:id="rId7"/>
      <w:footerReference w:type="even" r:id="rId8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300 Brickstone Square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,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Suite 201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Andover, MA 01810 USA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info@corpedgroup.com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 Corporate Education Group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1 Executive Drive, Suite 301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Chelmsford, MA 01824-2558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1.800.288.7246 (US only) or 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03100" cy="905506"/>
          <wp:effectExtent l="0" t="0" r="0" b="0"/>
          <wp:docPr id="1073741825" name="officeArt object" descr="ceg-spectrum-email-si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email-sig.png" descr="ceg-spectrum-email-sig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503100" cy="9055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rPr>
        <w:rStyle w:val="None"/>
      </w:rP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"/>
      </w:rP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