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1"/>
        <w:rPr>
          <w:rStyle w:val="None"/>
          <w:rFonts w:ascii="Arial" w:cs="Arial" w:hAnsi="Arial" w:eastAsia="Arial"/>
          <w:sz w:val="24"/>
          <w:szCs w:val="24"/>
        </w:rPr>
      </w:pPr>
    </w:p>
    <w:p>
      <w:pPr>
        <w:pStyle w:val="Title1"/>
        <w:rPr>
          <w:rStyle w:val="None"/>
          <w:rFonts w:ascii="Arial" w:cs="Arial" w:hAnsi="Arial" w:eastAsia="Arial"/>
          <w:sz w:val="24"/>
          <w:szCs w:val="24"/>
        </w:rPr>
      </w:pPr>
      <w:r>
        <w:rPr>
          <w:rStyle w:val="None"/>
          <w:rFonts w:ascii="Arial" w:hAnsi="Arial"/>
          <w:sz w:val="24"/>
          <w:szCs w:val="24"/>
          <w:rtl w:val="0"/>
          <w:lang w:val="en-US"/>
        </w:rPr>
        <w:t>Risk Management Plan Template</w:t>
      </w:r>
    </w:p>
    <w:p>
      <w:pPr>
        <w:pStyle w:val="BU_Subheading2"/>
        <w:tabs>
          <w:tab w:val="left" w:pos="3510"/>
        </w:tabs>
        <w:spacing w:after="120"/>
        <w:rPr>
          <w:rStyle w:val="None"/>
          <w:sz w:val="20"/>
          <w:szCs w:val="20"/>
          <w:lang w:val="en-US"/>
        </w:rPr>
      </w:pPr>
      <w:r>
        <w:rPr>
          <w:rStyle w:val="None"/>
          <w:sz w:val="20"/>
          <w:szCs w:val="20"/>
          <w:rtl w:val="0"/>
          <w:lang w:val="en-US"/>
        </w:rPr>
        <w:t>Section 1: Methodology</w:t>
      </w:r>
    </w:p>
    <w:tbl>
      <w:tblPr>
        <w:tblW w:w="924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5"/>
        <w:gridCol w:w="4267"/>
        <w:gridCol w:w="2310"/>
      </w:tblGrid>
      <w:tr>
        <w:tblPrEx>
          <w:shd w:val="clear" w:color="auto" w:fill="4f81bd"/>
        </w:tblPrEx>
        <w:trPr>
          <w:trHeight w:val="223" w:hRule="atLeast"/>
          <w:tblHeader/>
        </w:trPr>
        <w:tc>
          <w:tcPr>
            <w:tcW w:type="dxa" w:w="26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tabs>
                <w:tab w:val="left" w:pos="3510"/>
              </w:tabs>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Process</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tabs>
                <w:tab w:val="left" w:pos="3510"/>
              </w:tabs>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Task</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tabs>
                <w:tab w:val="left" w:pos="3510"/>
              </w:tabs>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Participants</w:t>
            </w: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before="120" w:after="60"/>
            </w:pPr>
            <w:r>
              <w:rPr>
                <w:rStyle w:val="None"/>
                <w:rFonts w:ascii="Arial" w:hAnsi="Arial"/>
                <w:sz w:val="19"/>
                <w:szCs w:val="19"/>
                <w:rtl w:val="0"/>
                <w:lang w:val="en-US"/>
              </w:rPr>
              <w:t xml:space="preserve">Plan Risk Management:  </w:t>
            </w:r>
            <w:r>
              <w:rPr>
                <w:rStyle w:val="None"/>
                <w:rFonts w:ascii="Arial" w:hAnsi="Arial"/>
                <w:b w:val="0"/>
                <w:bCs w:val="0"/>
                <w:sz w:val="19"/>
                <w:szCs w:val="19"/>
                <w:rtl w:val="0"/>
                <w:lang w:val="en-US"/>
              </w:rPr>
              <w:t>Define how risk will be managed for your project.</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Develop and document risk plan</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Maintain and update plan as necessary</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before="120" w:after="60"/>
            </w:pPr>
            <w:r>
              <w:rPr>
                <w:rStyle w:val="None"/>
                <w:rFonts w:ascii="Arial" w:hAnsi="Arial"/>
                <w:sz w:val="19"/>
                <w:szCs w:val="19"/>
                <w:rtl w:val="0"/>
                <w:lang w:val="en-US"/>
              </w:rPr>
              <w:t xml:space="preserve">Identify Risks: </w:t>
            </w:r>
            <w:r>
              <w:rPr>
                <w:rStyle w:val="None"/>
                <w:rFonts w:ascii="Arial" w:hAnsi="Arial"/>
                <w:b w:val="0"/>
                <w:bCs w:val="0"/>
                <w:sz w:val="19"/>
                <w:szCs w:val="19"/>
                <w:rtl w:val="0"/>
                <w:lang w:val="en-US"/>
              </w:rPr>
              <w:t>Risks will be identified using a variety of techniques during the planning phase of your project. You will identify risks and triggers at the beginning of project and on an ongoing basis, to identify any potential new risks or to eliminate risks that are no longer applicable.</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Brainstorming</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Interviews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Review documentation</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Review Memorial Day parade historical information</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04"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Analysis of triggers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before="120" w:after="120"/>
            </w:pPr>
            <w:r>
              <w:rPr>
                <w:rStyle w:val="None"/>
                <w:rFonts w:ascii="Arial" w:hAnsi="Arial"/>
                <w:sz w:val="19"/>
                <w:szCs w:val="19"/>
                <w:rtl w:val="0"/>
                <w:lang w:val="en-US"/>
              </w:rPr>
              <w:t xml:space="preserve">Perform Quantitative Risk Analysis: </w:t>
            </w:r>
            <w:r>
              <w:rPr>
                <w:rStyle w:val="None"/>
                <w:rFonts w:ascii="Arial" w:hAnsi="Arial"/>
                <w:b w:val="0"/>
                <w:bCs w:val="0"/>
                <w:sz w:val="19"/>
                <w:szCs w:val="19"/>
                <w:rtl w:val="0"/>
                <w:lang w:val="en-US"/>
              </w:rPr>
              <w:t>Conduct sensitivity analysis to determine which risks have the highest impact on your project &amp; how risks can be changed or mitigated. Brainstorm with impacted stakeholders and calculate expected value of each risk probability.</w:t>
            </w:r>
            <w:r>
              <w:rPr>
                <w:rStyle w:val="None"/>
                <w:rFonts w:ascii="Arial" w:hAnsi="Arial"/>
                <w:sz w:val="19"/>
                <w:szCs w:val="19"/>
                <w:rtl w:val="0"/>
                <w:lang w:val="en-US"/>
              </w:rPr>
              <w:t xml:space="preserve"> </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Interview key stakeholders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Brainstorming session with team members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Conduct sensitivity analysis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8"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Determine how to change/mitigate risk</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before="120" w:after="120"/>
              <w:rPr>
                <w:rFonts w:ascii="Arial" w:cs="Arial" w:hAnsi="Arial" w:eastAsia="Arial"/>
                <w:b w:val="0"/>
                <w:bCs w:val="0"/>
                <w:sz w:val="19"/>
                <w:szCs w:val="19"/>
              </w:rPr>
            </w:pPr>
            <w:r>
              <w:rPr>
                <w:rStyle w:val="None"/>
                <w:rFonts w:ascii="Arial" w:hAnsi="Arial"/>
                <w:b w:val="1"/>
                <w:bCs w:val="1"/>
                <w:sz w:val="19"/>
                <w:szCs w:val="19"/>
                <w:rtl w:val="0"/>
                <w:lang w:val="en-US"/>
              </w:rPr>
              <w:t xml:space="preserve">Perform Qualitative Risk Analysis: </w:t>
            </w:r>
            <w:r>
              <w:rPr>
                <w:rStyle w:val="None"/>
                <w:rFonts w:ascii="Arial" w:hAnsi="Arial"/>
                <w:b w:val="0"/>
                <w:bCs w:val="0"/>
                <w:sz w:val="19"/>
                <w:szCs w:val="19"/>
                <w:rtl w:val="0"/>
                <w:lang w:val="en-US"/>
              </w:rPr>
              <w:t>For each identified risk, determine the probability and impact, and calculate a risk score. A five-point scale for probability and impact will be used. A risk ranking table will also be created to benchmark each risk score and determine the overall project risk profile.</w:t>
            </w:r>
          </w:p>
          <w:p>
            <w:pPr>
              <w:pStyle w:val="ExNote"/>
              <w:rPr>
                <w:rStyle w:val="None"/>
                <w:sz w:val="19"/>
                <w:szCs w:val="19"/>
                <w:lang w:val="en-US"/>
              </w:rPr>
            </w:pPr>
          </w:p>
          <w:p>
            <w:pPr>
              <w:pStyle w:val="ExNote"/>
              <w:rPr>
                <w:rStyle w:val="None"/>
                <w:sz w:val="19"/>
                <w:szCs w:val="19"/>
                <w:lang w:val="en-US"/>
              </w:rPr>
            </w:pPr>
          </w:p>
          <w:p>
            <w:pPr>
              <w:pStyle w:val="ExNote"/>
            </w:pPr>
            <w:r>
              <w:rPr>
                <w:rStyle w:val="None"/>
                <w:sz w:val="19"/>
                <w:szCs w:val="19"/>
                <w:lang w:val="en-US"/>
              </w:rPr>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Probability and impact analysis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Determine risk score</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Develop a risk ranking table</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67"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Risk profile</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before="120" w:after="60"/>
            </w:pPr>
            <w:r>
              <w:rPr>
                <w:rStyle w:val="None"/>
                <w:rFonts w:ascii="Arial" w:hAnsi="Arial"/>
                <w:b w:val="1"/>
                <w:bCs w:val="1"/>
                <w:sz w:val="19"/>
                <w:szCs w:val="19"/>
                <w:rtl w:val="0"/>
                <w:lang w:val="en-US"/>
              </w:rPr>
              <w:t xml:space="preserve">Plan Risk Response: </w:t>
            </w:r>
            <w:r>
              <w:rPr>
                <w:rStyle w:val="None"/>
                <w:rFonts w:ascii="Arial" w:hAnsi="Arial"/>
                <w:b w:val="0"/>
                <w:bCs w:val="0"/>
                <w:sz w:val="19"/>
                <w:szCs w:val="19"/>
                <w:rtl w:val="0"/>
                <w:lang w:val="en-US"/>
              </w:rPr>
              <w:t>For each identified risk, assign a risk owner to have primary responsibility of mitigating that risk. The risk owner is also responsible for developing a risk response plan and contingency plan, in the event that the risk response fails or does not mitigate the risk to the acceptable threshold level.</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Assign risk owners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Develop a response strategy</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5"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Develop a contingency strategy</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195"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Review and update strategy as needed</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after="60"/>
            </w:pPr>
            <w:r>
              <w:rPr>
                <w:rStyle w:val="None"/>
                <w:rFonts w:ascii="Arial" w:hAnsi="Arial"/>
                <w:b w:val="1"/>
                <w:bCs w:val="1"/>
                <w:sz w:val="19"/>
                <w:szCs w:val="19"/>
                <w:rtl w:val="0"/>
                <w:lang w:val="en-US"/>
              </w:rPr>
              <w:t xml:space="preserve">Monitor and Control Risks:  </w:t>
            </w:r>
            <w:r>
              <w:rPr>
                <w:rStyle w:val="None"/>
                <w:rFonts w:ascii="Arial" w:hAnsi="Arial"/>
                <w:b w:val="0"/>
                <w:bCs w:val="0"/>
                <w:sz w:val="19"/>
                <w:szCs w:val="19"/>
                <w:rtl w:val="0"/>
                <w:lang w:val="en-US"/>
              </w:rPr>
              <w:t>All identified risks will be documented and scored, then prioritized based on risk score. All risks rated high or very high will be reviewed daily; medium rated risks will be reviewed weekly. Any risk triggers that take effect should be brought to the attention of the project manager ASAP.</w:t>
            </w: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Daily review of high and very high risks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Weekly review of medium risks</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43"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tabs>
                <w:tab w:val="left" w:pos="3510"/>
              </w:tabs>
              <w:spacing w:after="60"/>
            </w:pPr>
            <w:r>
              <w:rPr>
                <w:rStyle w:val="None"/>
                <w:rFonts w:ascii="Arial" w:hAnsi="Arial"/>
                <w:sz w:val="20"/>
                <w:szCs w:val="20"/>
                <w:shd w:val="nil" w:color="auto" w:fill="auto"/>
                <w:rtl w:val="0"/>
                <w:lang w:val="en-US"/>
              </w:rPr>
              <w:t>Report risk triggers change to Project Manager</w:t>
            </w: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16" w:hRule="atLeast"/>
        </w:trPr>
        <w:tc>
          <w:tcPr>
            <w:tcW w:type="dxa" w:w="266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4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2"/>
        <w:widowControl w:val="0"/>
        <w:tabs>
          <w:tab w:val="left" w:pos="3510"/>
        </w:tabs>
        <w:spacing w:after="120"/>
        <w:ind w:left="108" w:hanging="108"/>
        <w:rPr>
          <w:rStyle w:val="None"/>
          <w:sz w:val="20"/>
          <w:szCs w:val="20"/>
          <w:lang w:val="en-US"/>
        </w:rPr>
      </w:pPr>
    </w:p>
    <w:p>
      <w:pPr>
        <w:pStyle w:val="BU_Subheading2"/>
        <w:tabs>
          <w:tab w:val="left" w:pos="3510"/>
        </w:tabs>
        <w:rPr>
          <w:rStyle w:val="None"/>
          <w:sz w:val="20"/>
          <w:szCs w:val="20"/>
          <w:lang w:val="en-US"/>
        </w:rPr>
      </w:pPr>
    </w:p>
    <w:p>
      <w:pPr>
        <w:pStyle w:val="BU_Subheading2"/>
        <w:tabs>
          <w:tab w:val="left" w:pos="3510"/>
        </w:tabs>
        <w:rPr>
          <w:rStyle w:val="None"/>
          <w:sz w:val="20"/>
          <w:szCs w:val="20"/>
          <w:lang w:val="en-US"/>
        </w:rPr>
      </w:pPr>
      <w:r>
        <w:rPr>
          <w:rStyle w:val="None"/>
          <w:sz w:val="20"/>
          <w:szCs w:val="20"/>
          <w:rtl w:val="0"/>
          <w:lang w:val="en-US"/>
        </w:rPr>
        <w:t>Section 2: Roles and Responsibilities</w:t>
      </w:r>
    </w:p>
    <w:tbl>
      <w:tblPr>
        <w:tblW w:w="94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2"/>
        <w:gridCol w:w="6750"/>
      </w:tblGrid>
      <w:tr>
        <w:tblPrEx>
          <w:shd w:val="clear" w:color="auto" w:fill="4f81bd"/>
        </w:tblPrEx>
        <w:trPr>
          <w:trHeight w:val="223" w:hRule="atLeast"/>
          <w:tblHeader/>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tabs>
                <w:tab w:val="left" w:pos="3510"/>
              </w:tabs>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Role</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tabs>
                <w:tab w:val="left" w:pos="3510"/>
              </w:tabs>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Responsibilities</w:t>
            </w:r>
          </w:p>
        </w:tc>
      </w:tr>
      <w:tr>
        <w:tblPrEx>
          <w:shd w:val="clear" w:color="auto" w:fill="ced7e7"/>
        </w:tblPrEx>
        <w:trPr>
          <w:trHeight w:val="663" w:hRule="atLeast"/>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after="60"/>
            </w:pPr>
            <w:r>
              <w:rPr>
                <w:rStyle w:val="None"/>
                <w:rFonts w:ascii="Arial" w:hAnsi="Arial"/>
                <w:b w:val="0"/>
                <w:bCs w:val="0"/>
                <w:sz w:val="18"/>
                <w:szCs w:val="18"/>
                <w:rtl w:val="0"/>
                <w:lang w:val="en-US"/>
              </w:rPr>
              <w:t>Project Manager</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
              <w:tabs>
                <w:tab w:val="left" w:pos="3510"/>
              </w:tabs>
              <w:spacing w:after="60"/>
              <w:ind w:left="0" w:firstLine="0"/>
            </w:pPr>
            <w:r>
              <w:rPr>
                <w:rStyle w:val="None"/>
                <w:rFonts w:ascii="Arial" w:cs="Arial" w:hAnsi="Arial" w:eastAsia="Arial"/>
                <w:sz w:val="20"/>
                <w:szCs w:val="20"/>
                <w:shd w:val="nil" w:color="auto" w:fill="auto"/>
                <w:lang w:val="en-US"/>
              </w:rPr>
              <w:br w:type="textWrapping"/>
              <w:br w:type="textWrapping"/>
            </w:r>
          </w:p>
        </w:tc>
      </w:tr>
      <w:tr>
        <w:tblPrEx>
          <w:shd w:val="clear" w:color="auto" w:fill="ced7e7"/>
        </w:tblPrEx>
        <w:trPr>
          <w:trHeight w:val="663" w:hRule="atLeast"/>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after="60"/>
            </w:pPr>
            <w:r>
              <w:rPr>
                <w:rStyle w:val="None"/>
                <w:rFonts w:ascii="Arial" w:hAnsi="Arial"/>
                <w:b w:val="0"/>
                <w:bCs w:val="0"/>
                <w:sz w:val="18"/>
                <w:szCs w:val="18"/>
                <w:rtl w:val="0"/>
                <w:lang w:val="en-US"/>
              </w:rPr>
              <w:t>Team Member Assigned to Manage a Risk</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
              <w:tabs>
                <w:tab w:val="left" w:pos="3510"/>
              </w:tabs>
              <w:spacing w:after="60"/>
              <w:ind w:left="0" w:firstLine="0"/>
            </w:pPr>
            <w:r>
              <w:rPr>
                <w:rStyle w:val="None"/>
                <w:rFonts w:ascii="Arial" w:cs="Arial" w:hAnsi="Arial" w:eastAsia="Arial"/>
                <w:sz w:val="20"/>
                <w:szCs w:val="20"/>
                <w:shd w:val="nil" w:color="auto" w:fill="auto"/>
                <w:lang w:val="en-US"/>
              </w:rPr>
              <w:br w:type="textWrapping"/>
              <w:br w:type="textWrapping"/>
            </w:r>
          </w:p>
        </w:tc>
      </w:tr>
      <w:tr>
        <w:tblPrEx>
          <w:shd w:val="clear" w:color="auto" w:fill="ced7e7"/>
        </w:tblPrEx>
        <w:trPr>
          <w:trHeight w:val="663" w:hRule="atLeast"/>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after="60"/>
            </w:pPr>
            <w:r>
              <w:rPr>
                <w:rStyle w:val="None"/>
                <w:rFonts w:ascii="Arial" w:hAnsi="Arial"/>
                <w:b w:val="0"/>
                <w:bCs w:val="0"/>
                <w:sz w:val="18"/>
                <w:szCs w:val="18"/>
                <w:rtl w:val="0"/>
                <w:lang w:val="en-US"/>
              </w:rPr>
              <w:t>Internal Stakeholders</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
              <w:tabs>
                <w:tab w:val="left" w:pos="3510"/>
              </w:tabs>
              <w:spacing w:after="60"/>
              <w:ind w:left="0" w:firstLine="0"/>
            </w:pPr>
            <w:r>
              <w:rPr>
                <w:rStyle w:val="None"/>
                <w:rFonts w:ascii="Arial" w:cs="Arial" w:hAnsi="Arial" w:eastAsia="Arial"/>
                <w:sz w:val="20"/>
                <w:szCs w:val="20"/>
                <w:shd w:val="nil" w:color="auto" w:fill="auto"/>
                <w:lang w:val="en-US"/>
              </w:rPr>
              <w:br w:type="textWrapping"/>
              <w:br w:type="textWrapping"/>
            </w:r>
          </w:p>
        </w:tc>
      </w:tr>
      <w:tr>
        <w:tblPrEx>
          <w:shd w:val="clear" w:color="auto" w:fill="ced7e7"/>
        </w:tblPrEx>
        <w:trPr>
          <w:trHeight w:val="663" w:hRule="atLeast"/>
        </w:trPr>
        <w:tc>
          <w:tcPr>
            <w:tcW w:type="dxa" w:w="268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tabs>
                <w:tab w:val="left" w:pos="3510"/>
              </w:tabs>
              <w:spacing w:after="60"/>
            </w:pPr>
            <w:r>
              <w:rPr>
                <w:rStyle w:val="None"/>
                <w:rFonts w:ascii="Arial" w:hAnsi="Arial"/>
                <w:b w:val="0"/>
                <w:bCs w:val="0"/>
                <w:sz w:val="18"/>
                <w:szCs w:val="18"/>
                <w:rtl w:val="0"/>
                <w:lang w:val="en-US"/>
              </w:rPr>
              <w:t>External Stakeholders</w:t>
            </w:r>
          </w:p>
        </w:tc>
        <w:tc>
          <w:tcPr>
            <w:tcW w:type="dxa" w:w="67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
              <w:tabs>
                <w:tab w:val="left" w:pos="3510"/>
              </w:tabs>
              <w:spacing w:after="60"/>
              <w:ind w:left="0" w:firstLine="0"/>
            </w:pPr>
            <w:r>
              <w:rPr>
                <w:rStyle w:val="None"/>
                <w:rFonts w:ascii="Arial" w:cs="Arial" w:hAnsi="Arial" w:eastAsia="Arial"/>
                <w:sz w:val="20"/>
                <w:szCs w:val="20"/>
                <w:shd w:val="nil" w:color="auto" w:fill="auto"/>
                <w:lang w:val="en-US"/>
              </w:rPr>
              <w:br w:type="textWrapping"/>
              <w:br w:type="textWrapping"/>
            </w:r>
          </w:p>
        </w:tc>
      </w:tr>
    </w:tbl>
    <w:p>
      <w:pPr>
        <w:pStyle w:val="BU_Subheading2"/>
        <w:widowControl w:val="0"/>
        <w:tabs>
          <w:tab w:val="left" w:pos="3510"/>
        </w:tabs>
        <w:ind w:left="108" w:hanging="108"/>
        <w:rPr>
          <w:rStyle w:val="None"/>
          <w:sz w:val="20"/>
          <w:szCs w:val="20"/>
          <w:lang w:val="en-US"/>
        </w:rPr>
      </w:pPr>
    </w:p>
    <w:p>
      <w:pPr>
        <w:pStyle w:val="Normal.0"/>
        <w:rPr>
          <w:rStyle w:val="None"/>
          <w:rFonts w:ascii="Arial" w:cs="Arial" w:hAnsi="Arial" w:eastAsia="Arial"/>
          <w:sz w:val="20"/>
          <w:szCs w:val="20"/>
        </w:rPr>
      </w:pPr>
    </w:p>
    <w:p>
      <w:pPr>
        <w:pStyle w:val="BU_Subheading2"/>
      </w:pPr>
      <w:r>
        <w:rPr>
          <w:rStyle w:val="None"/>
          <w:rFonts w:ascii="Arial Unicode MS" w:cs="Arial Unicode MS" w:hAnsi="Arial Unicode MS" w:eastAsia="Arial Unicode MS"/>
          <w:b w:val="0"/>
          <w:bCs w:val="0"/>
          <w:i w:val="0"/>
          <w:iCs w:val="0"/>
          <w:sz w:val="20"/>
          <w:szCs w:val="20"/>
          <w:lang w:val="en-US"/>
        </w:rPr>
        <w:br w:type="page"/>
      </w:r>
    </w:p>
    <w:p>
      <w:pPr>
        <w:pStyle w:val="BU_Subheading2"/>
        <w:rPr>
          <w:rStyle w:val="None"/>
          <w:sz w:val="20"/>
          <w:szCs w:val="20"/>
          <w:lang w:val="en-US"/>
        </w:rPr>
      </w:pPr>
      <w:r>
        <w:rPr>
          <w:rStyle w:val="None"/>
          <w:sz w:val="20"/>
          <w:szCs w:val="20"/>
          <w:rtl w:val="0"/>
          <w:lang w:val="en-US"/>
        </w:rPr>
        <w:t>Section 3: Budgeting</w:t>
      </w:r>
    </w:p>
    <w:p>
      <w:pPr>
        <w:pStyle w:val="BU_Subheading3"/>
        <w:spacing w:after="120"/>
        <w:rPr>
          <w:rStyle w:val="None"/>
          <w:sz w:val="20"/>
          <w:szCs w:val="20"/>
          <w:lang w:val="en-US"/>
        </w:rPr>
      </w:pPr>
      <w:r>
        <w:rPr>
          <w:rStyle w:val="None"/>
          <w:sz w:val="20"/>
          <w:szCs w:val="20"/>
          <w:rtl w:val="0"/>
          <w:lang w:val="en-US"/>
        </w:rPr>
        <w:t>Risk Management Activities</w:t>
      </w:r>
    </w:p>
    <w:tbl>
      <w:tblPr>
        <w:tblW w:w="72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32"/>
        <w:gridCol w:w="2340"/>
      </w:tblGrid>
      <w:tr>
        <w:tblPrEx>
          <w:shd w:val="clear" w:color="auto" w:fill="4f81bd"/>
        </w:tblPrEx>
        <w:trPr>
          <w:trHeight w:val="223" w:hRule="atLeast"/>
          <w:tblHeader/>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Activity</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Budget</w:t>
            </w: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3"/>
        <w:widowControl w:val="0"/>
        <w:spacing w:after="120"/>
        <w:ind w:left="108" w:hanging="108"/>
        <w:rPr>
          <w:rStyle w:val="None"/>
          <w:sz w:val="20"/>
          <w:szCs w:val="20"/>
          <w:lang w:val="en-US"/>
        </w:rPr>
      </w:pPr>
    </w:p>
    <w:p>
      <w:pPr>
        <w:pStyle w:val="BU_Subheading3"/>
        <w:spacing w:after="120"/>
        <w:rPr>
          <w:rStyle w:val="None"/>
          <w:sz w:val="20"/>
          <w:szCs w:val="20"/>
          <w:lang w:val="en-US"/>
        </w:rPr>
      </w:pPr>
      <w:r>
        <w:rPr>
          <w:rStyle w:val="None"/>
          <w:sz w:val="20"/>
          <w:szCs w:val="20"/>
          <w:rtl w:val="0"/>
          <w:lang w:val="en-US"/>
        </w:rPr>
        <w:t>Contingency Reserves</w:t>
      </w:r>
    </w:p>
    <w:tbl>
      <w:tblPr>
        <w:tblW w:w="72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32"/>
        <w:gridCol w:w="2340"/>
      </w:tblGrid>
      <w:tr>
        <w:tblPrEx>
          <w:shd w:val="clear" w:color="auto" w:fill="4f81bd"/>
        </w:tblPrEx>
        <w:trPr>
          <w:trHeight w:val="223" w:hRule="atLeast"/>
          <w:tblHeader/>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Description</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Budget</w:t>
            </w:r>
          </w:p>
        </w:tc>
      </w:tr>
      <w:tr>
        <w:tblPrEx>
          <w:shd w:val="clear" w:color="auto" w:fill="ced7e7"/>
        </w:tblPrEx>
        <w:trPr>
          <w:trHeight w:val="843"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rPr>
                <w:rStyle w:val="None"/>
                <w:rFonts w:ascii="Arial" w:cs="Arial" w:hAnsi="Arial" w:eastAsia="Arial"/>
                <w:sz w:val="20"/>
                <w:szCs w:val="20"/>
                <w:shd w:val="nil" w:color="auto" w:fill="auto"/>
                <w:lang w:val="en-US"/>
              </w:rPr>
            </w:pPr>
          </w:p>
          <w:p>
            <w:pPr>
              <w:pStyle w:val="ExNote"/>
              <w:spacing w:after="60"/>
            </w:pPr>
            <w:r>
              <w:rPr>
                <w:rStyle w:val="None"/>
                <w:rFonts w:ascii="Arial" w:cs="Arial" w:hAnsi="Arial" w:eastAsia="Arial"/>
                <w:sz w:val="20"/>
                <w:szCs w:val="20"/>
                <w:shd w:val="nil" w:color="auto" w:fill="auto"/>
                <w:lang w:val="en-US"/>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3"/>
        <w:widowControl w:val="0"/>
        <w:spacing w:after="120"/>
        <w:ind w:left="108" w:hanging="108"/>
        <w:rPr>
          <w:rStyle w:val="None"/>
          <w:sz w:val="20"/>
          <w:szCs w:val="20"/>
          <w:lang w:val="en-US"/>
        </w:rPr>
      </w:pPr>
    </w:p>
    <w:p>
      <w:pPr>
        <w:pStyle w:val="BU_Subheading2"/>
        <w:spacing w:after="120"/>
        <w:rPr>
          <w:rStyle w:val="None"/>
          <w:sz w:val="20"/>
          <w:szCs w:val="20"/>
          <w:lang w:val="en-US"/>
        </w:rPr>
      </w:pPr>
    </w:p>
    <w:p>
      <w:pPr>
        <w:pStyle w:val="BU_Subheading2"/>
        <w:spacing w:after="120"/>
        <w:rPr>
          <w:rStyle w:val="None"/>
          <w:sz w:val="20"/>
          <w:szCs w:val="20"/>
          <w:lang w:val="en-US"/>
        </w:rPr>
      </w:pPr>
      <w:r>
        <w:rPr>
          <w:rStyle w:val="None"/>
          <w:sz w:val="20"/>
          <w:szCs w:val="20"/>
          <w:rtl w:val="0"/>
          <w:lang w:val="en-US"/>
        </w:rPr>
        <w:t>Section 4: Timing</w:t>
      </w:r>
    </w:p>
    <w:tbl>
      <w:tblPr>
        <w:tblW w:w="727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932"/>
        <w:gridCol w:w="2340"/>
      </w:tblGrid>
      <w:tr>
        <w:tblPrEx>
          <w:shd w:val="clear" w:color="auto" w:fill="4f81bd"/>
        </w:tblPrEx>
        <w:trPr>
          <w:trHeight w:val="223" w:hRule="atLeast"/>
          <w:tblHeader/>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Activity</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Phase/Date</w:t>
            </w: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493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2"/>
        <w:widowControl w:val="0"/>
        <w:spacing w:after="120"/>
        <w:ind w:left="108" w:hanging="108"/>
        <w:rPr>
          <w:rStyle w:val="None"/>
          <w:sz w:val="20"/>
          <w:szCs w:val="20"/>
          <w:lang w:val="en-US"/>
        </w:rPr>
      </w:pPr>
    </w:p>
    <w:p>
      <w:pPr>
        <w:pStyle w:val="NoteH1"/>
        <w:spacing w:after="120"/>
        <w:rPr>
          <w:rStyle w:val="None"/>
          <w:rFonts w:ascii="Arial" w:cs="Arial" w:hAnsi="Arial" w:eastAsia="Arial"/>
          <w:b w:val="1"/>
          <w:bCs w:val="1"/>
          <w:sz w:val="20"/>
          <w:szCs w:val="20"/>
        </w:rPr>
      </w:pPr>
    </w:p>
    <w:p>
      <w:pPr>
        <w:pStyle w:val="BU_Subheading2"/>
        <w:spacing w:before="0"/>
      </w:pPr>
      <w:r>
        <w:rPr>
          <w:rStyle w:val="None"/>
          <w:rFonts w:ascii="Arial Unicode MS" w:cs="Arial Unicode MS" w:hAnsi="Arial Unicode MS" w:eastAsia="Arial Unicode MS"/>
          <w:b w:val="0"/>
          <w:bCs w:val="0"/>
          <w:i w:val="0"/>
          <w:iCs w:val="0"/>
          <w:sz w:val="20"/>
          <w:szCs w:val="20"/>
          <w:lang w:val="en-US"/>
        </w:rPr>
        <w:br w:type="page"/>
      </w:r>
    </w:p>
    <w:p>
      <w:pPr>
        <w:pStyle w:val="BU_Subheading2"/>
        <w:spacing w:before="0"/>
        <w:rPr>
          <w:rStyle w:val="None"/>
          <w:sz w:val="20"/>
          <w:szCs w:val="20"/>
          <w:lang w:val="en-US"/>
        </w:rPr>
      </w:pPr>
      <w:r>
        <w:rPr>
          <w:rStyle w:val="None"/>
          <w:sz w:val="20"/>
          <w:szCs w:val="20"/>
          <w:rtl w:val="0"/>
          <w:lang w:val="en-US"/>
        </w:rPr>
        <w:t>Section 5: Risk Categories</w:t>
      </w:r>
    </w:p>
    <w:p>
      <w:pPr>
        <w:pStyle w:val="BU_Text"/>
        <w:rPr>
          <w:rStyle w:val="None"/>
          <w:sz w:val="20"/>
          <w:szCs w:val="20"/>
        </w:rPr>
      </w:pPr>
      <w:r>
        <w:rPr>
          <w:rStyle w:val="None"/>
          <w:sz w:val="20"/>
          <w:szCs w:val="20"/>
          <w:rtl w:val="0"/>
          <w:lang w:val="en-US"/>
        </w:rPr>
        <w:t>Once all risks have been identified, develop risk categories to logically organize the risks. The categories of risk are (but not limited to):</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Technical</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Organizational</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External</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Project Management</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Environmental</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Communications</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Safety</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Scope</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Time</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Cost</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Quality Requirements</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Resource Availability</w:t>
      </w:r>
    </w:p>
    <w:p>
      <w:pPr>
        <w:pStyle w:val="BU_Plain_Bullet_Indent1"/>
        <w:numPr>
          <w:ilvl w:val="0"/>
          <w:numId w:val="2"/>
        </w:numPr>
        <w:bidi w:val="0"/>
        <w:spacing w:before="60"/>
        <w:ind w:right="0"/>
        <w:jc w:val="left"/>
        <w:rPr>
          <w:sz w:val="20"/>
          <w:szCs w:val="20"/>
          <w:rtl w:val="0"/>
          <w:lang w:val="en-US"/>
        </w:rPr>
      </w:pPr>
      <w:r>
        <w:rPr>
          <w:rStyle w:val="None"/>
          <w:sz w:val="20"/>
          <w:szCs w:val="20"/>
          <w:rtl w:val="0"/>
          <w:lang w:val="en-US"/>
        </w:rPr>
        <w:t>Labor Availability</w:t>
      </w:r>
    </w:p>
    <w:p>
      <w:pPr>
        <w:pStyle w:val="Normal.0"/>
        <w:spacing w:before="120"/>
        <w:rPr>
          <w:rStyle w:val="None"/>
          <w:rFonts w:ascii="Arial" w:cs="Arial" w:hAnsi="Arial" w:eastAsia="Arial"/>
          <w:sz w:val="20"/>
          <w:szCs w:val="20"/>
        </w:rPr>
      </w:pPr>
      <w:r>
        <w:rPr>
          <w:rStyle w:val="None"/>
          <w:rFonts w:ascii="Arial" w:hAnsi="Arial"/>
          <w:sz w:val="20"/>
          <w:szCs w:val="20"/>
          <w:rtl w:val="0"/>
          <w:lang w:val="en-US"/>
        </w:rPr>
        <w:t>This list should not preclude the creation of additional categories, if project risks merit new categories.</w:t>
      </w:r>
    </w:p>
    <w:p>
      <w:pPr>
        <w:pStyle w:val="BU_Subheading2"/>
        <w:rPr>
          <w:rStyle w:val="None"/>
          <w:sz w:val="20"/>
          <w:szCs w:val="20"/>
          <w:lang w:val="en-US"/>
        </w:rPr>
      </w:pPr>
      <w:r>
        <w:rPr>
          <w:rStyle w:val="None"/>
          <w:sz w:val="20"/>
          <w:szCs w:val="20"/>
          <w:rtl w:val="0"/>
          <w:lang w:val="en-US"/>
        </w:rPr>
        <w:t>Section 6: Definitions of Risk Probability and Impact</w:t>
      </w:r>
    </w:p>
    <w:p>
      <w:pPr>
        <w:pStyle w:val="BU_Subheading3"/>
        <w:rPr>
          <w:rStyle w:val="None"/>
          <w:sz w:val="20"/>
          <w:szCs w:val="20"/>
          <w:lang w:val="en-US"/>
        </w:rPr>
      </w:pPr>
      <w:r>
        <w:rPr>
          <w:rStyle w:val="None"/>
          <w:sz w:val="20"/>
          <w:szCs w:val="20"/>
          <w:rtl w:val="0"/>
          <w:lang w:val="en-US"/>
        </w:rPr>
        <w:t>Probability</w:t>
      </w:r>
    </w:p>
    <w:tbl>
      <w:tblPr>
        <w:tblW w:w="94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57"/>
        <w:gridCol w:w="1965"/>
        <w:gridCol w:w="1966"/>
        <w:gridCol w:w="1966"/>
        <w:gridCol w:w="1678"/>
      </w:tblGrid>
      <w:tr>
        <w:tblPrEx>
          <w:shd w:val="clear" w:color="auto" w:fill="4f81bd"/>
        </w:tblPrEx>
        <w:trPr>
          <w:trHeight w:val="245" w:hRule="atLeast"/>
          <w:tblHeader/>
        </w:trPr>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Very Low</w:t>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Low</w:t>
            </w:r>
          </w:p>
        </w:tc>
        <w:tc>
          <w:tcPr>
            <w:tcW w:type="dxa" w:w="1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Moderate</w:t>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High</w:t>
            </w:r>
          </w:p>
        </w:tc>
        <w:tc>
          <w:tcPr>
            <w:tcW w:type="dxa" w:w="1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Very High</w:t>
            </w:r>
          </w:p>
        </w:tc>
      </w:tr>
      <w:tr>
        <w:tblPrEx>
          <w:shd w:val="clear" w:color="auto" w:fill="ced7e7"/>
        </w:tblPrEx>
        <w:trPr>
          <w:trHeight w:val="883" w:hRule="atLeast"/>
        </w:trPr>
        <w:tc>
          <w:tcPr>
            <w:tcW w:type="dxa" w:w="18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cs="Arial" w:hAnsi="Arial" w:eastAsia="Arial"/>
                <w:sz w:val="20"/>
                <w:szCs w:val="20"/>
                <w:shd w:val="nil" w:color="auto" w:fill="auto"/>
                <w:lang w:val="en-US"/>
              </w:rPr>
              <w:br w:type="textWrapping"/>
              <w:br w:type="textWrapping"/>
              <w:br w:type="textWrapping"/>
            </w: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3"/>
        <w:widowControl w:val="0"/>
        <w:ind w:left="108" w:hanging="108"/>
        <w:rPr>
          <w:rStyle w:val="None"/>
          <w:sz w:val="20"/>
          <w:szCs w:val="20"/>
          <w:lang w:val="en-US"/>
        </w:rPr>
      </w:pPr>
    </w:p>
    <w:p>
      <w:pPr>
        <w:pStyle w:val="BU_Subheading3"/>
        <w:rPr>
          <w:rStyle w:val="None"/>
          <w:sz w:val="20"/>
          <w:szCs w:val="20"/>
          <w:lang w:val="en-US"/>
        </w:rPr>
      </w:pPr>
      <w:r>
        <w:rPr>
          <w:rStyle w:val="None"/>
          <w:sz w:val="20"/>
          <w:szCs w:val="20"/>
          <w:rtl w:val="0"/>
          <w:lang w:val="en-US"/>
        </w:rPr>
        <w:t>Impact</w:t>
      </w:r>
    </w:p>
    <w:tbl>
      <w:tblPr>
        <w:tblW w:w="94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513"/>
        <w:gridCol w:w="1602"/>
        <w:gridCol w:w="1703"/>
        <w:gridCol w:w="1633"/>
        <w:gridCol w:w="1635"/>
        <w:gridCol w:w="1346"/>
      </w:tblGrid>
      <w:tr>
        <w:tblPrEx>
          <w:shd w:val="clear" w:color="auto" w:fill="4f81bd"/>
        </w:tblPrEx>
        <w:trPr>
          <w:trHeight w:val="443" w:hRule="atLeast"/>
          <w:tblHeader/>
        </w:trPr>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Project Objective</w:t>
            </w:r>
          </w:p>
        </w:tc>
        <w:tc>
          <w:tcPr>
            <w:tcW w:type="dxa" w:w="1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Very Low</w:t>
            </w: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Low</w:t>
            </w: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Moderate</w:t>
            </w: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High</w:t>
            </w:r>
          </w:p>
        </w:tc>
        <w:tc>
          <w:tcPr>
            <w:tcW w:type="dxa" w:w="1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Very High</w:t>
            </w:r>
          </w:p>
        </w:tc>
      </w:tr>
      <w:tr>
        <w:tblPrEx>
          <w:shd w:val="clear" w:color="auto" w:fill="ced7e7"/>
        </w:tblPrEx>
        <w:trPr>
          <w:trHeight w:val="272" w:hRule="atLeast"/>
        </w:trPr>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teH2"/>
              <w:spacing w:before="120" w:after="240"/>
            </w:pPr>
            <w:r>
              <w:rPr>
                <w:rStyle w:val="None"/>
                <w:rFonts w:ascii="Arial" w:hAnsi="Arial"/>
                <w:sz w:val="20"/>
                <w:szCs w:val="20"/>
                <w:shd w:val="nil" w:color="auto" w:fill="auto"/>
                <w:rtl w:val="0"/>
                <w:lang w:val="en-US"/>
              </w:rPr>
              <w:t>Cost</w:t>
            </w:r>
          </w:p>
        </w:tc>
        <w:tc>
          <w:tcPr>
            <w:tcW w:type="dxa" w:w="1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atLeast"/>
        </w:trPr>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teH2"/>
              <w:spacing w:before="120" w:after="240"/>
            </w:pPr>
            <w:r>
              <w:rPr>
                <w:rStyle w:val="None"/>
                <w:rFonts w:ascii="Arial" w:hAnsi="Arial"/>
                <w:sz w:val="20"/>
                <w:szCs w:val="20"/>
                <w:shd w:val="nil" w:color="auto" w:fill="auto"/>
                <w:rtl w:val="0"/>
                <w:lang w:val="en-US"/>
              </w:rPr>
              <w:t>Time</w:t>
            </w:r>
          </w:p>
        </w:tc>
        <w:tc>
          <w:tcPr>
            <w:tcW w:type="dxa" w:w="1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atLeast"/>
        </w:trPr>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teH2"/>
              <w:spacing w:before="120" w:after="240"/>
            </w:pPr>
            <w:r>
              <w:rPr>
                <w:rStyle w:val="None"/>
                <w:rFonts w:ascii="Arial" w:hAnsi="Arial"/>
                <w:sz w:val="20"/>
                <w:szCs w:val="20"/>
                <w:shd w:val="nil" w:color="auto" w:fill="auto"/>
                <w:rtl w:val="0"/>
                <w:lang w:val="en-US"/>
              </w:rPr>
              <w:t>Scope</w:t>
            </w:r>
          </w:p>
        </w:tc>
        <w:tc>
          <w:tcPr>
            <w:tcW w:type="dxa" w:w="1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2" w:hRule="atLeast"/>
        </w:trPr>
        <w:tc>
          <w:tcPr>
            <w:tcW w:type="dxa" w:w="15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teH2"/>
              <w:spacing w:before="120" w:after="240"/>
            </w:pPr>
            <w:r>
              <w:rPr>
                <w:rStyle w:val="None"/>
                <w:rFonts w:ascii="Arial" w:hAnsi="Arial"/>
                <w:sz w:val="20"/>
                <w:szCs w:val="20"/>
                <w:shd w:val="nil" w:color="auto" w:fill="auto"/>
                <w:rtl w:val="0"/>
                <w:lang w:val="en-US"/>
              </w:rPr>
              <w:t>Quality</w:t>
            </w:r>
          </w:p>
        </w:tc>
        <w:tc>
          <w:tcPr>
            <w:tcW w:type="dxa" w:w="16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6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U_Subheading3"/>
        <w:widowControl w:val="0"/>
        <w:ind w:left="108" w:hanging="108"/>
        <w:rPr>
          <w:rStyle w:val="None"/>
          <w:sz w:val="20"/>
          <w:szCs w:val="20"/>
          <w:lang w:val="en-US"/>
        </w:rPr>
      </w:pPr>
    </w:p>
    <w:p>
      <w:pPr>
        <w:pStyle w:val="NoteH1"/>
        <w:rPr>
          <w:rStyle w:val="None"/>
          <w:rFonts w:ascii="Arial" w:cs="Arial" w:hAnsi="Arial" w:eastAsia="Arial"/>
          <w:sz w:val="20"/>
          <w:szCs w:val="20"/>
        </w:rPr>
      </w:pPr>
    </w:p>
    <w:p>
      <w:pPr>
        <w:pStyle w:val="BU_Subheading2"/>
      </w:pPr>
      <w:r>
        <w:rPr>
          <w:rStyle w:val="None"/>
          <w:rFonts w:ascii="Arial Unicode MS" w:cs="Arial Unicode MS" w:hAnsi="Arial Unicode MS" w:eastAsia="Arial Unicode MS"/>
          <w:b w:val="0"/>
          <w:bCs w:val="0"/>
          <w:i w:val="0"/>
          <w:iCs w:val="0"/>
          <w:sz w:val="20"/>
          <w:szCs w:val="20"/>
          <w:lang w:val="en-US"/>
        </w:rPr>
        <w:br w:type="page"/>
      </w:r>
    </w:p>
    <w:p>
      <w:pPr>
        <w:pStyle w:val="BU_Subheading2"/>
        <w:rPr>
          <w:rStyle w:val="None"/>
          <w:sz w:val="20"/>
          <w:szCs w:val="20"/>
          <w:lang w:val="en-US"/>
        </w:rPr>
      </w:pPr>
      <w:r>
        <w:rPr>
          <w:rStyle w:val="None"/>
          <w:sz w:val="20"/>
          <w:szCs w:val="20"/>
          <w:rtl w:val="0"/>
          <w:lang w:val="en-US"/>
        </w:rPr>
        <w:t>Section 7: Probability and Impact Matrix</w:t>
      </w:r>
    </w:p>
    <w:p>
      <w:pPr>
        <w:pStyle w:val="BU_Subheading3"/>
        <w:spacing w:after="120"/>
        <w:rPr>
          <w:rStyle w:val="None"/>
          <w:sz w:val="20"/>
          <w:szCs w:val="20"/>
          <w:lang w:val="en-US"/>
        </w:rPr>
      </w:pPr>
      <w:r>
        <w:rPr>
          <w:rStyle w:val="None"/>
          <w:sz w:val="20"/>
          <w:szCs w:val="20"/>
          <w:rtl w:val="0"/>
          <w:lang w:val="en-US"/>
        </w:rPr>
        <w:t>Risk Rating List</w:t>
      </w:r>
    </w:p>
    <w:tbl>
      <w:tblPr>
        <w:tblW w:w="935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40"/>
        <w:gridCol w:w="1089"/>
        <w:gridCol w:w="1276"/>
        <w:gridCol w:w="2672"/>
        <w:gridCol w:w="1499"/>
        <w:gridCol w:w="1783"/>
      </w:tblGrid>
      <w:tr>
        <w:tblPrEx>
          <w:shd w:val="clear" w:color="auto" w:fill="ced7e7"/>
        </w:tblPrEx>
        <w:trPr>
          <w:trHeight w:val="475"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 xml:space="preserve">Value </w:t>
            </w:r>
            <w:r>
              <w:rPr>
                <w:rStyle w:val="None"/>
                <w:rFonts w:ascii="Arial" w:cs="Arial" w:hAnsi="Arial" w:eastAsia="Arial"/>
                <w:b w:val="1"/>
                <w:bCs w:val="1"/>
                <w:outline w:val="0"/>
                <w:color w:val="ffffff"/>
                <w:sz w:val="20"/>
                <w:szCs w:val="20"/>
                <w:u w:color="ffffff"/>
                <w:shd w:val="nil" w:color="auto" w:fill="auto"/>
                <w:lang w:val="en-US"/>
                <w14:textFill>
                  <w14:solidFill>
                    <w14:srgbClr w14:val="FFFFFF"/>
                  </w14:solidFill>
                </w14:textFill>
              </w:rPr>
              <w:br w:type="textWrapping"/>
            </w: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of P</w:t>
            </w: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 xml:space="preserve">Value </w:t>
            </w:r>
            <w:r>
              <w:rPr>
                <w:rStyle w:val="None"/>
                <w:rFonts w:ascii="Arial" w:cs="Arial" w:hAnsi="Arial" w:eastAsia="Arial"/>
                <w:b w:val="1"/>
                <w:bCs w:val="1"/>
                <w:outline w:val="0"/>
                <w:color w:val="ffffff"/>
                <w:sz w:val="20"/>
                <w:szCs w:val="20"/>
                <w:u w:color="ffffff"/>
                <w:shd w:val="nil" w:color="auto" w:fill="auto"/>
                <w:lang w:val="en-US"/>
                <w14:textFill>
                  <w14:solidFill>
                    <w14:srgbClr w14:val="FFFFFF"/>
                  </w14:solidFill>
                </w14:textFill>
              </w:rPr>
              <w:br w:type="textWrapping"/>
            </w: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of I</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Risk Score</w:t>
            </w: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Risk Description</w:t>
            </w: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Risk Rating</w:t>
            </w: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rmal.0"/>
              <w:spacing w:after="0"/>
            </w:pPr>
            <w:r>
              <w:rPr>
                <w:rStyle w:val="None"/>
                <w:rFonts w:ascii="Arial" w:hAnsi="Arial"/>
                <w:b w:val="1"/>
                <w:bCs w:val="1"/>
                <w:outline w:val="0"/>
                <w:color w:val="ffffff"/>
                <w:sz w:val="20"/>
                <w:szCs w:val="20"/>
                <w:u w:color="ffffff"/>
                <w:shd w:val="nil" w:color="auto" w:fill="auto"/>
                <w:rtl w:val="0"/>
                <w:lang w:val="en-US"/>
                <w14:textFill>
                  <w14:solidFill>
                    <w14:srgbClr w14:val="FFFFFF"/>
                  </w14:solidFill>
                </w14:textFill>
              </w:rPr>
              <w:t>Risk Response Strategy</w:t>
            </w: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79" w:hRule="atLeast"/>
        </w:trPr>
        <w:tc>
          <w:tcPr>
            <w:tcW w:type="dxa" w:w="10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3"/>
        <w:widowControl w:val="0"/>
        <w:spacing w:after="120"/>
        <w:ind w:left="108" w:hanging="108"/>
        <w:rPr>
          <w:rStyle w:val="None"/>
          <w:sz w:val="20"/>
          <w:szCs w:val="20"/>
          <w:lang w:val="en-US"/>
        </w:rPr>
      </w:pPr>
    </w:p>
    <w:p>
      <w:pPr>
        <w:pStyle w:val="BU_Subheading3"/>
        <w:rPr>
          <w:rStyle w:val="None"/>
          <w:sz w:val="20"/>
          <w:szCs w:val="20"/>
          <w:lang w:val="en-US"/>
        </w:rPr>
      </w:pPr>
      <w:r>
        <w:rPr>
          <w:rStyle w:val="None"/>
          <w:sz w:val="20"/>
          <w:szCs w:val="20"/>
          <w:rtl w:val="0"/>
          <w:lang w:val="en-US"/>
        </w:rPr>
        <w:t>Probability and Impact Matrix</w:t>
      </w:r>
    </w:p>
    <w:tbl>
      <w:tblPr>
        <w:tblW w:w="935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19"/>
        <w:gridCol w:w="823"/>
        <w:gridCol w:w="824"/>
        <w:gridCol w:w="825"/>
        <w:gridCol w:w="825"/>
        <w:gridCol w:w="825"/>
        <w:gridCol w:w="824"/>
        <w:gridCol w:w="825"/>
        <w:gridCol w:w="825"/>
        <w:gridCol w:w="825"/>
        <w:gridCol w:w="719"/>
      </w:tblGrid>
      <w:tr>
        <w:tblPrEx>
          <w:shd w:val="clear" w:color="auto" w:fill="4f81bd"/>
        </w:tblPrEx>
        <w:trPr>
          <w:trHeight w:val="223" w:hRule="atLeast"/>
          <w:tblHeader/>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Probability</w:t>
            </w:r>
          </w:p>
        </w:tc>
        <w:tc>
          <w:tcPr>
            <w:tcW w:type="dxa" w:w="41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Threats</w:t>
            </w:r>
          </w:p>
        </w:tc>
        <w:tc>
          <w:tcPr>
            <w:tcW w:type="dxa" w:w="4018"/>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Opportunities</w:t>
            </w: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3" w:hRule="atLeast"/>
        </w:trPr>
        <w:tc>
          <w:tcPr>
            <w:tcW w:type="dxa" w:w="12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7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3"/>
        <w:widowControl w:val="0"/>
        <w:ind w:left="108" w:hanging="108"/>
        <w:rPr>
          <w:rStyle w:val="None"/>
          <w:sz w:val="20"/>
          <w:szCs w:val="20"/>
          <w:lang w:val="en-US"/>
        </w:rPr>
      </w:pPr>
    </w:p>
    <w:p>
      <w:pPr>
        <w:pStyle w:val="BU_Subheading2"/>
        <w:spacing w:before="240" w:after="120"/>
        <w:rPr>
          <w:rStyle w:val="None"/>
          <w:sz w:val="20"/>
          <w:szCs w:val="20"/>
          <w:lang w:val="en-US"/>
        </w:rPr>
      </w:pPr>
      <w:r>
        <w:rPr>
          <w:rStyle w:val="None"/>
          <w:sz w:val="20"/>
          <w:szCs w:val="20"/>
          <w:rtl w:val="0"/>
          <w:lang w:val="en-US"/>
        </w:rPr>
        <w:t>Section 8: Revised Stakeholders</w:t>
      </w:r>
      <w:r>
        <w:rPr>
          <w:rStyle w:val="None"/>
          <w:sz w:val="20"/>
          <w:szCs w:val="20"/>
          <w:rtl w:val="0"/>
          <w:lang w:val="en-US"/>
        </w:rPr>
        <w:t xml:space="preserve">’ </w:t>
      </w:r>
      <w:r>
        <w:rPr>
          <w:rStyle w:val="None"/>
          <w:sz w:val="20"/>
          <w:szCs w:val="20"/>
          <w:rtl w:val="0"/>
          <w:lang w:val="en-US"/>
        </w:rPr>
        <w:t>Risk Tolerances</w:t>
      </w:r>
    </w:p>
    <w:tbl>
      <w:tblPr>
        <w:tblW w:w="963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23"/>
        <w:gridCol w:w="3191"/>
        <w:gridCol w:w="3616"/>
      </w:tblGrid>
      <w:tr>
        <w:tblPrEx>
          <w:shd w:val="clear" w:color="auto" w:fill="4f81bd"/>
        </w:tblPrEx>
        <w:trPr>
          <w:trHeight w:val="223" w:hRule="atLeast"/>
          <w:tblHeader/>
        </w:trPr>
        <w:tc>
          <w:tcPr>
            <w:tcW w:type="dxa" w:w="2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Stakeholder</w:t>
            </w:r>
          </w:p>
        </w:tc>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Normal Risk Tolerance</w:t>
            </w:r>
          </w:p>
        </w:tc>
        <w:tc>
          <w:tcPr>
            <w:tcW w:type="dxa" w:w="3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12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Current Project Risk Tolerance</w:t>
            </w:r>
          </w:p>
        </w:tc>
      </w:tr>
      <w:tr>
        <w:tblPrEx>
          <w:shd w:val="clear" w:color="auto" w:fill="ced7e7"/>
        </w:tblPrEx>
        <w:trPr>
          <w:trHeight w:val="272" w:hRule="atLeast"/>
        </w:trPr>
        <w:tc>
          <w:tcPr>
            <w:tcW w:type="dxa" w:w="2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72" w:hRule="atLeast"/>
        </w:trPr>
        <w:tc>
          <w:tcPr>
            <w:tcW w:type="dxa" w:w="282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6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U_Subheading2"/>
        <w:widowControl w:val="0"/>
        <w:spacing w:before="240" w:after="120"/>
        <w:ind w:left="108" w:hanging="108"/>
        <w:rPr>
          <w:rStyle w:val="None"/>
          <w:sz w:val="20"/>
          <w:szCs w:val="20"/>
          <w:lang w:val="en-US"/>
        </w:rPr>
      </w:pPr>
    </w:p>
    <w:p>
      <w:pPr>
        <w:pStyle w:val="BU_Subheading2"/>
        <w:rPr>
          <w:rStyle w:val="None"/>
          <w:sz w:val="20"/>
          <w:szCs w:val="20"/>
          <w:lang w:val="en-US"/>
        </w:rPr>
      </w:pPr>
    </w:p>
    <w:p>
      <w:pPr>
        <w:pStyle w:val="BU_Subheading2"/>
        <w:spacing w:before="0" w:after="120"/>
      </w:pPr>
      <w:r>
        <w:rPr>
          <w:rStyle w:val="None"/>
          <w:rFonts w:ascii="Arial Unicode MS" w:cs="Arial Unicode MS" w:hAnsi="Arial Unicode MS" w:eastAsia="Arial Unicode MS"/>
          <w:b w:val="0"/>
          <w:bCs w:val="0"/>
          <w:i w:val="0"/>
          <w:iCs w:val="0"/>
          <w:lang w:val="en-US"/>
        </w:rPr>
        <w:br w:type="page"/>
      </w:r>
    </w:p>
    <w:p>
      <w:pPr>
        <w:pStyle w:val="BU_Subheading2"/>
        <w:spacing w:before="0" w:after="120"/>
        <w:rPr>
          <w:rStyle w:val="None"/>
          <w:lang w:val="en-US"/>
        </w:rPr>
      </w:pPr>
      <w:r>
        <w:rPr>
          <w:rStyle w:val="None"/>
          <w:sz w:val="20"/>
          <w:szCs w:val="20"/>
          <w:rtl w:val="0"/>
          <w:lang w:val="en-US"/>
        </w:rPr>
        <w:t>Section 9: Reporting Formats (with Example Content)</w:t>
      </w:r>
    </w:p>
    <w:tbl>
      <w:tblPr>
        <w:tblW w:w="945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14"/>
        <w:gridCol w:w="6636"/>
      </w:tblGrid>
      <w:tr>
        <w:tblPrEx>
          <w:shd w:val="clear" w:color="auto" w:fill="4f81bd"/>
        </w:tblPrEx>
        <w:trPr>
          <w:trHeight w:val="223" w:hRule="atLeast"/>
          <w:tblHeader/>
        </w:trPr>
        <w:tc>
          <w:tcPr>
            <w:tcW w:type="dxa" w:w="2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6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Report</w:t>
            </w:r>
          </w:p>
        </w:tc>
        <w:tc>
          <w:tcPr>
            <w:tcW w:type="dxa" w:w="6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6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Format</w:t>
            </w:r>
          </w:p>
        </w:tc>
      </w:tr>
      <w:tr>
        <w:tblPrEx>
          <w:shd w:val="clear" w:color="auto" w:fill="ced7e7"/>
        </w:tblPrEx>
        <w:trPr>
          <w:trHeight w:val="883" w:hRule="atLeast"/>
        </w:trPr>
        <w:tc>
          <w:tcPr>
            <w:tcW w:type="dxa" w:w="2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Risk Register/Database</w:t>
            </w:r>
          </w:p>
        </w:tc>
        <w:tc>
          <w:tcPr>
            <w:tcW w:type="dxa" w:w="6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Risk ID, risk category, risk description, risk originator, risk owner, last updated, probability score, impact score, risk score, risk status (new, open, mitigation plan created, mitigation plan approved, completed, re-opened),trigger, mitigation strategy, contingency strategy</w:t>
            </w:r>
          </w:p>
        </w:tc>
      </w:tr>
      <w:tr>
        <w:tblPrEx>
          <w:shd w:val="clear" w:color="auto" w:fill="ced7e7"/>
        </w:tblPrEx>
        <w:trPr>
          <w:trHeight w:val="1103" w:hRule="atLeast"/>
        </w:trPr>
        <w:tc>
          <w:tcPr>
            <w:tcW w:type="dxa" w:w="2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High Risk Report (daily)</w:t>
            </w:r>
          </w:p>
        </w:tc>
        <w:tc>
          <w:tcPr>
            <w:tcW w:type="dxa" w:w="6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Only high or very high risks reported - risk ID, risk category, risk description, risk originator, risk owner, last updated, probability score, impact score, risk score, risk status (new, open, mitigation plan created, mitigation plan approved, completed, re-opened),trigger, mitigation strategy, contingency strategy.</w:t>
            </w:r>
          </w:p>
        </w:tc>
      </w:tr>
      <w:tr>
        <w:tblPrEx>
          <w:shd w:val="clear" w:color="auto" w:fill="ced7e7"/>
        </w:tblPrEx>
        <w:trPr>
          <w:trHeight w:val="1103" w:hRule="atLeast"/>
        </w:trPr>
        <w:tc>
          <w:tcPr>
            <w:tcW w:type="dxa" w:w="28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Weekly Risk Report</w:t>
            </w:r>
          </w:p>
        </w:tc>
        <w:tc>
          <w:tcPr>
            <w:tcW w:type="dxa" w:w="6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120"/>
            </w:pPr>
            <w:r>
              <w:rPr>
                <w:rStyle w:val="None"/>
                <w:rFonts w:ascii="Arial" w:hAnsi="Arial"/>
                <w:sz w:val="20"/>
                <w:szCs w:val="20"/>
                <w:shd w:val="nil" w:color="auto" w:fill="auto"/>
                <w:rtl w:val="0"/>
                <w:lang w:val="en-US"/>
              </w:rPr>
              <w:t>Only medium risks reported - risk ID, risk category, risk description, risk originator, risk owner, last updated, probability score, impact score, risk score, risk status (new, open, mitigation plan created, mitigation plan approved, completed, re-opened),trigger, mitigation strategy, contingency strategy</w:t>
            </w:r>
          </w:p>
        </w:tc>
      </w:tr>
    </w:tbl>
    <w:p>
      <w:pPr>
        <w:pStyle w:val="BU_Subheading2"/>
        <w:widowControl w:val="0"/>
        <w:spacing w:before="0" w:after="120"/>
        <w:ind w:left="108" w:hanging="108"/>
        <w:rPr>
          <w:rStyle w:val="None"/>
          <w:lang w:val="en-US"/>
        </w:rPr>
      </w:pPr>
    </w:p>
    <w:p>
      <w:pPr>
        <w:pStyle w:val="BU_Subheading2"/>
        <w:rPr>
          <w:rStyle w:val="None"/>
          <w:sz w:val="20"/>
          <w:szCs w:val="20"/>
          <w:lang w:val="en-US"/>
        </w:rPr>
      </w:pPr>
      <w:r>
        <w:rPr>
          <w:rStyle w:val="None"/>
          <w:sz w:val="20"/>
          <w:szCs w:val="20"/>
          <w:rtl w:val="0"/>
          <w:lang w:val="en-US"/>
        </w:rPr>
        <w:t>Section 10: Tracking</w:t>
      </w: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58"/>
        <w:gridCol w:w="6302"/>
      </w:tblGrid>
      <w:tr>
        <w:tblPrEx>
          <w:shd w:val="clear" w:color="auto" w:fill="4f81bd"/>
        </w:tblPrEx>
        <w:trPr>
          <w:trHeight w:val="223" w:hRule="atLeast"/>
          <w:tblHeader/>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6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Process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2b5c86"/>
            <w:tcMar>
              <w:top w:type="dxa" w:w="80"/>
              <w:left w:type="dxa" w:w="80"/>
              <w:bottom w:type="dxa" w:w="80"/>
              <w:right w:type="dxa" w:w="80"/>
            </w:tcMar>
            <w:vAlign w:val="top"/>
          </w:tcPr>
          <w:p>
            <w:pPr>
              <w:pStyle w:val="NoteH2"/>
              <w:spacing w:before="60" w:after="60"/>
            </w:pPr>
            <w:r>
              <w:rPr>
                <w:rStyle w:val="None"/>
                <w:rFonts w:ascii="Arial" w:hAnsi="Arial"/>
                <w:outline w:val="0"/>
                <w:color w:val="ffffff"/>
                <w:sz w:val="20"/>
                <w:szCs w:val="20"/>
                <w:u w:color="ffffff"/>
                <w:shd w:val="nil" w:color="auto" w:fill="auto"/>
                <w:rtl w:val="0"/>
                <w:lang w:val="en-US"/>
                <w14:textFill>
                  <w14:solidFill>
                    <w14:srgbClr w14:val="FFFFFF"/>
                  </w14:solidFill>
                </w14:textFill>
              </w:rPr>
              <w:t>Auditing Procedure</w:t>
            </w:r>
          </w:p>
        </w:tc>
      </w:tr>
      <w:tr>
        <w:tblPrEx>
          <w:shd w:val="clear" w:color="auto" w:fill="ced7e7"/>
        </w:tblPrEx>
        <w:trPr>
          <w:trHeight w:val="66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Plan Risk Management</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plan and present findings to Sponsor and Citizen Collaborative BOD for follow up and corrective action</w:t>
            </w:r>
          </w:p>
        </w:tc>
      </w:tr>
      <w:tr>
        <w:tblPrEx>
          <w:shd w:val="clear" w:color="auto" w:fill="ced7e7"/>
        </w:tblPrEx>
        <w:trPr>
          <w:trHeight w:val="66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Identify Risks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Identify Risks process and present findings to Sponsor and Citizen Collaborative BOD for follow up and corrective action</w:t>
            </w:r>
          </w:p>
        </w:tc>
      </w:tr>
      <w:tr>
        <w:tblPrEx>
          <w:shd w:val="clear" w:color="auto" w:fill="ced7e7"/>
        </w:tblPrEx>
        <w:trPr>
          <w:trHeight w:val="88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Perform Qualitative Risk Analysis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qualitative risk analysis process and present findings to Sponsor and Citizen Collaborative BOD for follow up and corrective action</w:t>
            </w:r>
          </w:p>
        </w:tc>
      </w:tr>
      <w:tr>
        <w:tblPrEx>
          <w:shd w:val="clear" w:color="auto" w:fill="ced7e7"/>
        </w:tblPrEx>
        <w:trPr>
          <w:trHeight w:val="88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Perform Quantitative Risk Analysis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Perform Quantitative Risk Analysis process and present findings to Sponsor and Citizen Collaborative BOD for follow up and corrective action</w:t>
            </w:r>
          </w:p>
        </w:tc>
      </w:tr>
      <w:tr>
        <w:tblPrEx>
          <w:shd w:val="clear" w:color="auto" w:fill="ced7e7"/>
        </w:tblPrEx>
        <w:trPr>
          <w:trHeight w:val="66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Plan Risk Responses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Risk Response plan and present findings to Sponsor and Citizen Collaborative BOD for follow up and corrective action</w:t>
            </w:r>
          </w:p>
        </w:tc>
      </w:tr>
      <w:tr>
        <w:tblPrEx>
          <w:shd w:val="clear" w:color="auto" w:fill="ced7e7"/>
        </w:tblPrEx>
        <w:trPr>
          <w:trHeight w:val="883" w:hRule="atLeast"/>
        </w:trPr>
        <w:tc>
          <w:tcPr>
            <w:tcW w:type="dxa" w:w="3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teH2"/>
              <w:spacing w:after="60"/>
            </w:pPr>
            <w:r>
              <w:rPr>
                <w:rStyle w:val="None"/>
                <w:rFonts w:ascii="Arial" w:hAnsi="Arial"/>
                <w:sz w:val="20"/>
                <w:szCs w:val="20"/>
                <w:shd w:val="nil" w:color="auto" w:fill="auto"/>
                <w:rtl w:val="0"/>
                <w:lang w:val="en-US"/>
              </w:rPr>
              <w:t>Monitor and Control Risks</w:t>
            </w:r>
          </w:p>
        </w:tc>
        <w:tc>
          <w:tcPr>
            <w:tcW w:type="dxa" w:w="63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ExNote"/>
              <w:spacing w:after="60"/>
            </w:pPr>
            <w:r>
              <w:rPr>
                <w:rStyle w:val="None"/>
                <w:rFonts w:ascii="Arial" w:hAnsi="Arial"/>
                <w:sz w:val="20"/>
                <w:szCs w:val="20"/>
                <w:shd w:val="nil" w:color="auto" w:fill="auto"/>
                <w:rtl w:val="0"/>
                <w:lang w:val="en-US"/>
              </w:rPr>
              <w:t>Independent auditor, contracted by Citizens Collaborative BOD, to review the Monitoring and Control process and present findings to Sponsor and Citizen Collaborative BOD for follow up and corrective action</w:t>
            </w:r>
          </w:p>
        </w:tc>
      </w:tr>
    </w:tbl>
    <w:p>
      <w:pPr>
        <w:pStyle w:val="BU_Subheading2"/>
        <w:widowControl w:val="0"/>
        <w:ind w:left="108" w:hanging="108"/>
        <w:rPr>
          <w:rStyle w:val="None"/>
          <w:sz w:val="20"/>
          <w:szCs w:val="20"/>
          <w:lang w:val="en-US"/>
        </w:rPr>
      </w:pPr>
    </w:p>
    <w:p>
      <w:pPr>
        <w:pStyle w:val="Title1"/>
        <w:rPr>
          <w:rStyle w:val="None"/>
          <w:rFonts w:ascii="Arial" w:cs="Arial" w:hAnsi="Arial" w:eastAsia="Arial"/>
          <w:b w:val="0"/>
          <w:bCs w:val="0"/>
          <w:i w:val="1"/>
          <w:iCs w:val="1"/>
          <w:outline w:val="0"/>
          <w:color w:val="000000"/>
          <w:sz w:val="18"/>
          <w:szCs w:val="18"/>
          <w:u w:color="000000"/>
          <w14:textFill>
            <w14:solidFill>
              <w14:srgbClr w14:val="000000"/>
            </w14:solidFill>
          </w14:textFill>
        </w:rPr>
      </w:pPr>
    </w:p>
    <w:p>
      <w:pPr>
        <w:pStyle w:val="Title1"/>
      </w:pPr>
      <w:r>
        <w:rPr>
          <w:rStyle w:val="None"/>
          <w:rFonts w:ascii="Arial" w:hAnsi="Arial"/>
          <w:b w:val="0"/>
          <w:bCs w:val="0"/>
          <w:i w:val="1"/>
          <w:iCs w:val="1"/>
          <w:outline w:val="0"/>
          <w:color w:val="000000"/>
          <w:sz w:val="18"/>
          <w:szCs w:val="18"/>
          <w:u w:color="000000"/>
          <w:rtl w:val="0"/>
          <w:lang w:val="en-US"/>
          <w14:textFill>
            <w14:solidFill>
              <w14:srgbClr w14:val="000000"/>
            </w14:solidFill>
          </w14:textFill>
        </w:rPr>
        <w:t xml:space="preserve">Extracted from MDP273a: Project Risk Management </w:t>
      </w:r>
    </w:p>
    <w:sectPr>
      <w:headerReference w:type="default" r:id="rId4"/>
      <w:headerReference w:type="even" r:id="rId5"/>
      <w:footerReference w:type="default" r:id="rId6"/>
      <w:footerReference w:type="even" r:id="rId7"/>
      <w:pgSz w:w="12240" w:h="15840" w:orient="portrait"/>
      <w:pgMar w:top="360" w:right="1440" w:bottom="1440" w:left="1440" w:header="504" w:footer="43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 w:name="Arial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Style w:val="Hyperlink.0"/>
      </w:rPr>
    </w:pPr>
    <w:r>
      <w:rPr>
        <w:rFonts w:ascii="Arial" w:hAnsi="Arial"/>
        <w:outline w:val="0"/>
        <w:color w:val="343434"/>
        <w:sz w:val="18"/>
        <w:szCs w:val="18"/>
        <w:u w:color="343434"/>
        <w:rtl w:val="0"/>
        <w:lang w:val="en-US"/>
        <w14:textFill>
          <w14:solidFill>
            <w14:srgbClr w14:val="343434"/>
          </w14:solidFill>
        </w14:textFill>
      </w:rPr>
      <w:t>300 Brickstone Square</w:t>
    </w:r>
    <w:r>
      <w:rPr>
        <w:rFonts w:ascii="Arial" w:hAnsi="Arial"/>
        <w:outline w:val="0"/>
        <w:color w:val="343434"/>
        <w:sz w:val="18"/>
        <w:szCs w:val="18"/>
        <w:u w:color="343434"/>
        <w:rtl w:val="0"/>
        <w:lang w:val="en-US"/>
        <w14:textFill>
          <w14:solidFill>
            <w14:srgbClr w14:val="343434"/>
          </w14:solidFill>
        </w14:textFill>
      </w:rPr>
      <w:t>,</w:t>
    </w:r>
    <w:r>
      <w:rPr>
        <w:rFonts w:ascii="Arial" w:hAnsi="Arial"/>
        <w:outline w:val="0"/>
        <w:color w:val="343434"/>
        <w:sz w:val="18"/>
        <w:szCs w:val="18"/>
        <w:u w:color="343434"/>
        <w:rtl w:val="0"/>
        <w:lang w:val="en-US"/>
        <w14:textFill>
          <w14:solidFill>
            <w14:srgbClr w14:val="343434"/>
          </w14:solidFill>
        </w14:textFill>
      </w:rPr>
      <w:t xml:space="preserve"> Suite 201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Andover, MA 01810 USA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1.800.288.7246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+1.978.649.8200 </w:t>
    </w:r>
    <w:r>
      <w:rPr>
        <w:rFonts w:ascii="Arial" w:hAnsi="Arial" w:hint="default"/>
        <w:outline w:val="0"/>
        <w:color w:val="343434"/>
        <w:sz w:val="18"/>
        <w:szCs w:val="18"/>
        <w:u w:color="343434"/>
        <w:rtl w:val="0"/>
        <w:lang w:val="en-US"/>
        <w14:textFill>
          <w14:solidFill>
            <w14:srgbClr w14:val="343434"/>
          </w14:solidFill>
        </w14:textFill>
      </w:rPr>
      <w:t xml:space="preserve">• </w:t>
    </w:r>
    <w:r>
      <w:rPr>
        <w:rFonts w:ascii="Arial" w:hAnsi="Arial"/>
        <w:outline w:val="0"/>
        <w:color w:val="343434"/>
        <w:sz w:val="18"/>
        <w:szCs w:val="18"/>
        <w:u w:color="343434"/>
        <w:rtl w:val="0"/>
        <w:lang w:val="en-US"/>
        <w14:textFill>
          <w14:solidFill>
            <w14:srgbClr w14:val="343434"/>
          </w14:solidFill>
        </w14:textFill>
      </w:rPr>
      <w:t xml:space="preserve">info@corpedgroup.com </w:t>
    </w:r>
    <w:r>
      <w:rPr>
        <w:rFonts w:ascii="Arial" w:hAnsi="Arial" w:hint="default"/>
        <w:outline w:val="0"/>
        <w:color w:val="343434"/>
        <w:sz w:val="18"/>
        <w:szCs w:val="18"/>
        <w:u w:color="343434"/>
        <w:rtl w:val="0"/>
        <w:lang w:val="en-US"/>
        <w14:textFill>
          <w14:solidFill>
            <w14:srgbClr w14:val="343434"/>
          </w14:solidFill>
        </w14:textFill>
      </w:rPr>
      <w:t xml:space="preserve">• </w:t>
    </w:r>
    <w:r>
      <w:rPr>
        <w:rStyle w:val="Hyperlink.0"/>
      </w:rPr>
      <w:fldChar w:fldCharType="begin" w:fldLock="0"/>
    </w:r>
    <w:r>
      <w:rPr>
        <w:rStyle w:val="Hyperlink.0"/>
      </w:rPr>
      <w:instrText xml:space="preserve"> HYPERLINK "http://www.corpedgroup.com"</w:instrText>
    </w:r>
    <w:r>
      <w:rPr>
        <w:rStyle w:val="Hyperlink.0"/>
      </w:rPr>
      <w:fldChar w:fldCharType="separate" w:fldLock="0"/>
    </w:r>
    <w:r>
      <w:rPr>
        <w:rStyle w:val="Hyperlink.0"/>
        <w:rtl w:val="0"/>
        <w:lang w:val="en-US"/>
      </w:rPr>
      <w:t>www.corpedgroup.com</w:t>
    </w:r>
    <w:r>
      <w:rPr/>
      <w:fldChar w:fldCharType="end" w:fldLock="0"/>
    </w:r>
  </w:p>
  <w:p>
    <w:pPr>
      <w:pStyle w:val="Normal.0"/>
      <w:jc w:val="center"/>
    </w:pPr>
    <w:r>
      <w:rPr>
        <w:rStyle w:val="None"/>
        <w:rFonts w:ascii="Arial" w:hAnsi="Arial" w:hint="default"/>
        <w:outline w:val="0"/>
        <w:color w:val="343434"/>
        <w:sz w:val="16"/>
        <w:szCs w:val="16"/>
        <w:u w:color="343434"/>
        <w:rtl w:val="0"/>
        <w:lang w:val="en-US"/>
        <w14:textFill>
          <w14:solidFill>
            <w14:srgbClr w14:val="343434"/>
          </w14:solidFill>
        </w14:textFill>
      </w:rPr>
      <w:t>©</w:t>
    </w:r>
    <w:r>
      <w:rPr>
        <w:rStyle w:val="None"/>
        <w:rFonts w:ascii="Arial" w:hAnsi="Arial"/>
        <w:outline w:val="0"/>
        <w:color w:val="343434"/>
        <w:sz w:val="16"/>
        <w:szCs w:val="16"/>
        <w:u w:color="343434"/>
        <w:rtl w:val="0"/>
        <w:lang w:val="en-US"/>
        <w14:textFill>
          <w14:solidFill>
            <w14:srgbClr w14:val="343434"/>
          </w14:solidFill>
        </w14:textFill>
      </w:rPr>
      <w:t>2024 Corporate Education Group, operated by CEG Operating Company, LLC. All Rights Reserved.</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spacing w:before="100" w:after="100" w:line="210" w:lineRule="atLeast"/>
      <w:jc w:val="center"/>
      <w:rPr>
        <w:rStyle w:val="Hyperlink.0"/>
      </w:rPr>
    </w:pPr>
    <w:r>
      <w:rPr>
        <w:rStyle w:val="Hyperlink.0"/>
        <w:rtl w:val="0"/>
        <w:lang w:val="en-US"/>
      </w:rPr>
      <w:t>300 Brickstone Square</w:t>
    </w:r>
    <w:r>
      <w:rPr>
        <w:rStyle w:val="Hyperlink.0"/>
        <w:rtl w:val="0"/>
        <w:lang w:val="en-US"/>
      </w:rPr>
      <w:t>,</w:t>
    </w:r>
    <w:r>
      <w:rPr>
        <w:rStyle w:val="Hyperlink.0"/>
        <w:rtl w:val="0"/>
        <w:lang w:val="en-US"/>
      </w:rPr>
      <w:t xml:space="preserve"> Suite 201 </w:t>
    </w:r>
    <w:r>
      <w:rPr>
        <w:rStyle w:val="Hyperlink.0"/>
        <w:rtl w:val="0"/>
        <w:lang w:val="en-US"/>
      </w:rPr>
      <w:t xml:space="preserve">• </w:t>
    </w:r>
    <w:r>
      <w:rPr>
        <w:rStyle w:val="Hyperlink.0"/>
        <w:rtl w:val="0"/>
        <w:lang w:val="en-US"/>
      </w:rPr>
      <w:t xml:space="preserve">Andover, MA 01810 USA </w:t>
    </w:r>
    <w:r>
      <w:rPr>
        <w:rStyle w:val="Hyperlink.0"/>
        <w:rtl w:val="0"/>
        <w:lang w:val="en-US"/>
      </w:rPr>
      <w:t xml:space="preserve">• </w:t>
    </w:r>
    <w:r>
      <w:rPr>
        <w:rStyle w:val="Hyperlink.0"/>
        <w:rtl w:val="0"/>
        <w:lang w:val="en-US"/>
      </w:rPr>
      <w:t xml:space="preserve">1.800.288.7246 </w:t>
    </w:r>
    <w:r>
      <w:rPr>
        <w:rStyle w:val="Hyperlink.0"/>
        <w:rtl w:val="0"/>
        <w:lang w:val="en-US"/>
      </w:rPr>
      <w:t xml:space="preserve">• </w:t>
    </w:r>
    <w:r>
      <w:rPr>
        <w:rStyle w:val="Hyperlink.0"/>
        <w:rtl w:val="0"/>
        <w:lang w:val="en-US"/>
      </w:rPr>
      <w:t xml:space="preserve">+1.978.649.8200 </w:t>
    </w:r>
    <w:r>
      <w:rPr>
        <w:rStyle w:val="Hyperlink.0"/>
        <w:rtl w:val="0"/>
        <w:lang w:val="en-US"/>
      </w:rPr>
      <w:t xml:space="preserve">• </w:t>
    </w:r>
    <w:r>
      <w:rPr>
        <w:rStyle w:val="Hyperlink.0"/>
        <w:rtl w:val="0"/>
        <w:lang w:val="en-US"/>
      </w:rPr>
      <w:t xml:space="preserve">info@corpedgroup.com </w:t>
    </w:r>
    <w:r>
      <w:rPr>
        <w:rStyle w:val="Hyperlink.0"/>
        <w:rtl w:val="0"/>
        <w:lang w:val="en-US"/>
      </w:rPr>
      <w:t xml:space="preserve">• </w:t>
    </w:r>
    <w:r>
      <w:rPr>
        <w:rStyle w:val="Hyperlink.0"/>
      </w:rPr>
      <w:fldChar w:fldCharType="begin" w:fldLock="0"/>
    </w:r>
    <w:r>
      <w:rPr>
        <w:rStyle w:val="Hyperlink.0"/>
      </w:rPr>
      <w:instrText xml:space="preserve"> HYPERLINK "http://www.corpedgroup.com"</w:instrText>
    </w:r>
    <w:r>
      <w:rPr>
        <w:rStyle w:val="Hyperlink.0"/>
      </w:rPr>
      <w:fldChar w:fldCharType="separate" w:fldLock="0"/>
    </w:r>
    <w:r>
      <w:rPr>
        <w:rStyle w:val="Hyperlink.0"/>
        <w:rtl w:val="0"/>
        <w:lang w:val="en-US"/>
      </w:rPr>
      <w:t>www.corpedgroup.com</w:t>
    </w:r>
    <w:r>
      <w:rPr/>
      <w:fldChar w:fldCharType="end" w:fldLock="0"/>
    </w:r>
  </w:p>
  <w:p>
    <w:pPr>
      <w:pStyle w:val="Normal.0"/>
      <w:jc w:val="center"/>
    </w:pPr>
    <w:r>
      <w:rPr>
        <w:rStyle w:val="None"/>
        <w:rFonts w:ascii="Arial" w:hAnsi="Arial" w:hint="default"/>
        <w:outline w:val="0"/>
        <w:color w:val="343434"/>
        <w:sz w:val="16"/>
        <w:szCs w:val="16"/>
        <w:u w:color="343434"/>
        <w:rtl w:val="0"/>
        <w:lang w:val="en-US"/>
        <w14:textFill>
          <w14:solidFill>
            <w14:srgbClr w14:val="343434"/>
          </w14:solidFill>
        </w14:textFill>
      </w:rPr>
      <w:t>©</w:t>
    </w:r>
    <w:r>
      <w:rPr>
        <w:rStyle w:val="None"/>
        <w:rFonts w:ascii="Arial" w:hAnsi="Arial"/>
        <w:outline w:val="0"/>
        <w:color w:val="343434"/>
        <w:sz w:val="16"/>
        <w:szCs w:val="16"/>
        <w:u w:color="343434"/>
        <w:rtl w:val="0"/>
        <w:lang w:val="en-US"/>
        <w14:textFill>
          <w14:solidFill>
            <w14:srgbClr w14:val="343434"/>
          </w14:solidFill>
        </w14:textFill>
      </w:rPr>
      <w:t>2024 Corporate Education Group, operated by CEG Operating Company, LLC. All Rights Reserved.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03100" cy="905506"/>
          <wp:effectExtent l="0" t="0" r="0" b="0"/>
          <wp:docPr id="1073741825" name="officeArt object" descr="ceg-spectrum-email-sig.png"/>
          <wp:cNvGraphicFramePr/>
          <a:graphic xmlns:a="http://schemas.openxmlformats.org/drawingml/2006/main">
            <a:graphicData uri="http://schemas.openxmlformats.org/drawingml/2006/picture">
              <pic:pic xmlns:pic="http://schemas.openxmlformats.org/drawingml/2006/picture">
                <pic:nvPicPr>
                  <pic:cNvPr id="1073741825" name="ceg-spectrum-email-sig.png" descr="ceg-spectrum-email-sig.png"/>
                  <pic:cNvPicPr>
                    <a:picLocks noChangeAspect="0"/>
                  </pic:cNvPicPr>
                </pic:nvPicPr>
                <pic:blipFill>
                  <a:blip r:embed="rId1">
                    <a:extLst/>
                  </a:blip>
                  <a:srcRect l="0" t="0" r="0" b="0"/>
                  <a:stretch>
                    <a:fillRect/>
                  </a:stretch>
                </pic:blipFill>
                <pic:spPr>
                  <a:xfrm>
                    <a:off x="0" y="0"/>
                    <a:ext cx="1503100" cy="905506"/>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spacing w:line="360" w:lineRule="auto"/>
      <w:jc w:val="center"/>
    </w:pPr>
    <w:r>
      <w:drawing xmlns:a="http://schemas.openxmlformats.org/drawingml/2006/main">
        <wp:inline distT="0" distB="0" distL="0" distR="0">
          <wp:extent cx="1503100" cy="905506"/>
          <wp:effectExtent l="0" t="0" r="0" b="0"/>
          <wp:docPr id="1073741826" name="officeArt object" descr="ceg-spectrum-email-sig.png"/>
          <wp:cNvGraphicFramePr/>
          <a:graphic xmlns:a="http://schemas.openxmlformats.org/drawingml/2006/main">
            <a:graphicData uri="http://schemas.openxmlformats.org/drawingml/2006/picture">
              <pic:pic xmlns:pic="http://schemas.openxmlformats.org/drawingml/2006/picture">
                <pic:nvPicPr>
                  <pic:cNvPr id="1073741826" name="ceg-spectrum-email-sig.png" descr="ceg-spectrum-email-sig.png"/>
                  <pic:cNvPicPr>
                    <a:picLocks noChangeAspect="0"/>
                  </pic:cNvPicPr>
                </pic:nvPicPr>
                <pic:blipFill>
                  <a:blip r:embed="rId1">
                    <a:extLst/>
                  </a:blip>
                  <a:srcRect l="0" t="0" r="0" b="0"/>
                  <a:stretch>
                    <a:fillRect/>
                  </a:stretch>
                </pic:blipFill>
                <pic:spPr>
                  <a:xfrm>
                    <a:off x="0" y="0"/>
                    <a:ext cx="1503100" cy="905506"/>
                  </a:xfrm>
                  <a:prstGeom prst="rect">
                    <a:avLst/>
                  </a:prstGeom>
                  <a:ln w="12700" cap="flat">
                    <a:noFill/>
                    <a:miter lim="400000"/>
                  </a:ln>
                  <a:effectLst/>
                </pic:spPr>
              </pic:pic>
            </a:graphicData>
          </a:graphic>
        </wp:inline>
      </w:drawing>
    </w:r>
    <w:r>
      <w:br w:type="textWrapp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tabs>
          <w:tab w:val="clear" w:pos="7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200" w:line="276"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343434"/>
      <w:sz w:val="18"/>
      <w:szCs w:val="18"/>
      <w:u w:color="343434"/>
      <w14:textFill>
        <w14:solidFill>
          <w14:srgbClr w14:val="343434"/>
        </w14:solidFill>
      </w14:textFill>
    </w:rPr>
  </w:style>
  <w:style w:type="paragraph" w:styleId="Title1">
    <w:name w:val="Title1"/>
    <w:next w:val="Title1"/>
    <w:pPr>
      <w:keepNext w:val="1"/>
      <w:keepLines w:val="0"/>
      <w:pageBreakBefore w:val="0"/>
      <w:widowControl w:val="1"/>
      <w:shd w:val="clear" w:color="auto" w:fill="auto"/>
      <w:suppressAutoHyphens w:val="0"/>
      <w:bidi w:val="0"/>
      <w:spacing w:before="0" w:after="200" w:line="288"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2b5c86"/>
      <w:spacing w:val="0"/>
      <w:kern w:val="0"/>
      <w:position w:val="0"/>
      <w:sz w:val="38"/>
      <w:szCs w:val="38"/>
      <w:u w:val="none" w:color="2b5c86"/>
      <w:shd w:val="nil" w:color="auto" w:fill="auto"/>
      <w:vertAlign w:val="baseline"/>
      <w:lang w:val="en-US"/>
      <w14:textFill>
        <w14:solidFill>
          <w14:srgbClr w14:val="2B5C86"/>
        </w14:solidFill>
      </w14:textFill>
    </w:rPr>
  </w:style>
  <w:style w:type="paragraph" w:styleId="BU_Subheading2">
    <w:name w:val="BU_Subheading2"/>
    <w:next w:val="Normal.0"/>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lang w:val="fr-FR"/>
      <w14:textFill>
        <w14:solidFill>
          <w14:srgbClr w14:val="000000"/>
        </w14:solidFill>
      </w14:textFill>
    </w:rPr>
  </w:style>
  <w:style w:type="paragraph" w:styleId="NoteH2">
    <w:name w:val="NoteH2"/>
    <w:next w:val="ExNote"/>
    <w:pPr>
      <w:keepNext w:val="0"/>
      <w:keepLines w:val="0"/>
      <w:pageBreakBefore w:val="0"/>
      <w:widowControl w:val="1"/>
      <w:shd w:val="clear" w:color="auto" w:fill="auto"/>
      <w:suppressAutoHyphens w:val="0"/>
      <w:bidi w:val="0"/>
      <w:spacing w:before="24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ExNote">
    <w:name w:val="ExNote"/>
    <w:next w:val="ExNote"/>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Ex">
    <w:name w:val="Ex"/>
    <w:next w:val="Ex"/>
    <w:pPr>
      <w:keepNext w:val="0"/>
      <w:keepLines w:val="0"/>
      <w:pageBreakBefore w:val="0"/>
      <w:widowControl w:val="1"/>
      <w:shd w:val="clear" w:color="auto" w:fill="auto"/>
      <w:suppressAutoHyphens w:val="0"/>
      <w:bidi w:val="0"/>
      <w:spacing w:before="120" w:after="0" w:line="240" w:lineRule="auto"/>
      <w:ind w:left="192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U_Subheading3">
    <w:name w:val="BU_Subheading3"/>
    <w:next w:val="Normal.0"/>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paragraph" w:styleId="NoteH1">
    <w:name w:val="NoteH1"/>
    <w:next w:val="Normal.0"/>
    <w:pPr>
      <w:keepNext w:val="0"/>
      <w:keepLines w:val="0"/>
      <w:pageBreakBefore w:val="0"/>
      <w:widowControl w:val="1"/>
      <w:shd w:val="clear" w:color="auto" w:fill="auto"/>
      <w:suppressAutoHyphens w:val="0"/>
      <w:bidi w:val="0"/>
      <w:spacing w:before="300" w:after="0" w:line="240" w:lineRule="auto"/>
      <w:ind w:left="0" w:right="0" w:firstLine="0"/>
      <w:jc w:val="left"/>
      <w:outlineLvl w:val="9"/>
    </w:pPr>
    <w:rPr>
      <w:rFonts w:ascii="Arial Black" w:cs="Arial Black" w:hAnsi="Arial Black" w:eastAsia="Arial Black"/>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U_Text">
    <w:name w:val="BU_Text"/>
    <w:next w:val="BU_Text"/>
    <w:pPr>
      <w:keepNext w:val="0"/>
      <w:keepLines w:val="0"/>
      <w:pageBreakBefore w:val="0"/>
      <w:widowControl w:val="1"/>
      <w:shd w:val="clear" w:color="auto" w:fill="auto"/>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U_Plain_Bullet_Indent1">
    <w:name w:val="BU_Plain_Bullet_Indent1"/>
    <w:next w:val="BU_Plain_Bullet_Indent1"/>
    <w:pPr>
      <w:keepNext w:val="0"/>
      <w:keepLines w:val="0"/>
      <w:pageBreakBefore w:val="0"/>
      <w:widowControl w:val="1"/>
      <w:shd w:val="clear" w:color="auto" w:fill="auto"/>
      <w:tabs>
        <w:tab w:val="left" w:pos="360"/>
        <w:tab w:val="left" w:pos="720"/>
      </w:tabs>
      <w:suppressAutoHyphens w:val="0"/>
      <w:bidi w:val="0"/>
      <w:spacing w:before="12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